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A98F" w14:textId="3DF0584E" w:rsidR="008E7886" w:rsidRDefault="008E7886" w:rsidP="00E70AE7">
      <w:pPr>
        <w:pStyle w:val="Style5"/>
        <w:widowControl/>
        <w:jc w:val="both"/>
        <w:rPr>
          <w:rStyle w:val="FontStyle15"/>
        </w:rPr>
      </w:pPr>
    </w:p>
    <w:p w14:paraId="48787E21" w14:textId="518B9101" w:rsidR="00E82917" w:rsidRDefault="00E82917" w:rsidP="00E70AE7">
      <w:pPr>
        <w:pStyle w:val="Style5"/>
        <w:widowControl/>
        <w:jc w:val="both"/>
        <w:rPr>
          <w:rStyle w:val="FontStyle15"/>
        </w:rPr>
      </w:pPr>
    </w:p>
    <w:p w14:paraId="7246A51B" w14:textId="77777777" w:rsidR="00E82917" w:rsidRDefault="00E82917" w:rsidP="00E70AE7">
      <w:pPr>
        <w:pStyle w:val="Style5"/>
        <w:widowControl/>
        <w:jc w:val="both"/>
        <w:rPr>
          <w:rStyle w:val="FontStyle15"/>
        </w:rPr>
      </w:pPr>
    </w:p>
    <w:p w14:paraId="5E83C21E" w14:textId="6D262E8D" w:rsidR="00752975" w:rsidRDefault="00E8351B" w:rsidP="00E8351B">
      <w:pPr>
        <w:pStyle w:val="Style5"/>
        <w:widowControl/>
        <w:ind w:firstLine="567"/>
        <w:jc w:val="both"/>
        <w:rPr>
          <w:rStyle w:val="FontStyle15"/>
          <w:b w:val="0"/>
          <w:bCs w:val="0"/>
          <w:sz w:val="22"/>
          <w:szCs w:val="22"/>
        </w:rPr>
      </w:pPr>
      <w:proofErr w:type="gramStart"/>
      <w:r>
        <w:rPr>
          <w:rStyle w:val="FontStyle15"/>
          <w:b w:val="0"/>
          <w:bCs w:val="0"/>
          <w:sz w:val="22"/>
          <w:szCs w:val="22"/>
          <w:lang w:val="en-GB"/>
        </w:rPr>
        <w:t>Pursuant to Article 9(3) of the Resolution and Compulsory Winding-Up of Banks Act (Official Gazette of the Republic of Slovenia, No. 92/21; hereinafter: the ZRPPB-1) and Article 31(1) of the Bank of Slovenia Act (Official Gazette of the Republic of Slovenia, Nos. 72/06 [official consolidated version], 59/11 and 55/17), the Governing Board of Banka Slovenije hereby issues the following</w:t>
      </w:r>
      <w:proofErr w:type="gramEnd"/>
    </w:p>
    <w:p w14:paraId="633F2555" w14:textId="77777777" w:rsidR="00E8351B" w:rsidRDefault="00E8351B" w:rsidP="00E70AE7">
      <w:pPr>
        <w:pStyle w:val="Style6"/>
        <w:widowControl/>
        <w:jc w:val="both"/>
        <w:rPr>
          <w:rStyle w:val="FontStyle14"/>
          <w:sz w:val="22"/>
          <w:szCs w:val="22"/>
        </w:rPr>
      </w:pPr>
    </w:p>
    <w:p w14:paraId="5DDE8EAD" w14:textId="77777777" w:rsidR="00E8351B" w:rsidRPr="00E8351B" w:rsidRDefault="00E8351B" w:rsidP="00E8351B">
      <w:pPr>
        <w:pStyle w:val="Style6"/>
        <w:widowControl/>
        <w:jc w:val="center"/>
        <w:rPr>
          <w:rStyle w:val="FontStyle14"/>
          <w:b/>
          <w:bCs/>
          <w:sz w:val="22"/>
          <w:szCs w:val="22"/>
        </w:rPr>
      </w:pPr>
      <w:r>
        <w:rPr>
          <w:rStyle w:val="FontStyle14"/>
          <w:b/>
          <w:bCs/>
          <w:sz w:val="22"/>
          <w:szCs w:val="22"/>
          <w:lang w:val="en-GB"/>
        </w:rPr>
        <w:t>REGULATION</w:t>
      </w:r>
    </w:p>
    <w:p w14:paraId="3E145DA9" w14:textId="026EFA1F" w:rsidR="00E8351B" w:rsidRDefault="00E8351B" w:rsidP="00E8351B">
      <w:pPr>
        <w:pStyle w:val="Style6"/>
        <w:widowControl/>
        <w:jc w:val="center"/>
        <w:rPr>
          <w:rStyle w:val="FontStyle14"/>
          <w:b/>
          <w:bCs/>
          <w:sz w:val="22"/>
          <w:szCs w:val="22"/>
        </w:rPr>
      </w:pPr>
      <w:proofErr w:type="gramStart"/>
      <w:r>
        <w:rPr>
          <w:rStyle w:val="FontStyle14"/>
          <w:b/>
          <w:bCs/>
          <w:sz w:val="22"/>
          <w:szCs w:val="22"/>
          <w:lang w:val="en-GB"/>
        </w:rPr>
        <w:t>on</w:t>
      </w:r>
      <w:proofErr w:type="gramEnd"/>
      <w:r>
        <w:rPr>
          <w:rStyle w:val="FontStyle14"/>
          <w:b/>
          <w:bCs/>
          <w:sz w:val="22"/>
          <w:szCs w:val="22"/>
          <w:lang w:val="en-GB"/>
        </w:rPr>
        <w:t xml:space="preserve"> the application of the Guidelines on factual circumstances amounting to a material threat to financial stability and on the elements related to the effectiveness of the sale of business tool under Article 39(4) of Directive 2014/59/EU</w:t>
      </w:r>
    </w:p>
    <w:p w14:paraId="767E19A7" w14:textId="77777777" w:rsidR="00E8351B" w:rsidRPr="00E8351B" w:rsidRDefault="00E8351B" w:rsidP="00E8351B">
      <w:pPr>
        <w:pStyle w:val="Style6"/>
        <w:widowControl/>
        <w:jc w:val="center"/>
        <w:rPr>
          <w:rStyle w:val="FontStyle14"/>
          <w:b/>
          <w:bCs/>
          <w:sz w:val="22"/>
          <w:szCs w:val="22"/>
        </w:rPr>
      </w:pPr>
    </w:p>
    <w:p w14:paraId="2E59FBEE" w14:textId="77777777" w:rsidR="00E8351B" w:rsidRPr="00E8351B" w:rsidRDefault="00E8351B" w:rsidP="00E8351B">
      <w:pPr>
        <w:pStyle w:val="Style6"/>
        <w:widowControl/>
        <w:jc w:val="center"/>
        <w:rPr>
          <w:rStyle w:val="FontStyle14"/>
          <w:b/>
          <w:bCs/>
          <w:sz w:val="22"/>
          <w:szCs w:val="22"/>
        </w:rPr>
      </w:pPr>
      <w:r>
        <w:rPr>
          <w:rStyle w:val="FontStyle14"/>
          <w:b/>
          <w:bCs/>
          <w:sz w:val="22"/>
          <w:szCs w:val="22"/>
          <w:lang w:val="en-GB"/>
        </w:rPr>
        <w:t>Article 1</w:t>
      </w:r>
    </w:p>
    <w:p w14:paraId="4D22A3A4" w14:textId="5EAB03D2" w:rsidR="00E8351B" w:rsidRDefault="00E8351B" w:rsidP="00E8351B">
      <w:pPr>
        <w:pStyle w:val="Style6"/>
        <w:widowControl/>
        <w:jc w:val="center"/>
        <w:rPr>
          <w:rStyle w:val="FontStyle14"/>
          <w:b/>
          <w:bCs/>
          <w:sz w:val="22"/>
          <w:szCs w:val="22"/>
        </w:rPr>
      </w:pPr>
      <w:r>
        <w:rPr>
          <w:rStyle w:val="FontStyle14"/>
          <w:b/>
          <w:bCs/>
          <w:sz w:val="22"/>
          <w:szCs w:val="22"/>
          <w:lang w:val="en-GB"/>
        </w:rPr>
        <w:t>(</w:t>
      </w:r>
      <w:proofErr w:type="gramStart"/>
      <w:r>
        <w:rPr>
          <w:rStyle w:val="FontStyle14"/>
          <w:b/>
          <w:bCs/>
          <w:sz w:val="22"/>
          <w:szCs w:val="22"/>
          <w:lang w:val="en-GB"/>
        </w:rPr>
        <w:t>purpose</w:t>
      </w:r>
      <w:proofErr w:type="gramEnd"/>
      <w:r>
        <w:rPr>
          <w:rStyle w:val="FontStyle14"/>
          <w:b/>
          <w:bCs/>
          <w:sz w:val="22"/>
          <w:szCs w:val="22"/>
          <w:lang w:val="en-GB"/>
        </w:rPr>
        <w:t xml:space="preserve"> and field of application of guidelines)</w:t>
      </w:r>
    </w:p>
    <w:p w14:paraId="61BE6C46" w14:textId="77777777" w:rsidR="00E8351B" w:rsidRPr="00E8351B" w:rsidRDefault="00E8351B" w:rsidP="00E8351B">
      <w:pPr>
        <w:pStyle w:val="Style6"/>
        <w:widowControl/>
        <w:jc w:val="center"/>
        <w:rPr>
          <w:rStyle w:val="FontStyle14"/>
          <w:b/>
          <w:bCs/>
          <w:sz w:val="22"/>
          <w:szCs w:val="22"/>
        </w:rPr>
      </w:pPr>
    </w:p>
    <w:p w14:paraId="44EC9DAC" w14:textId="31631671" w:rsidR="00E8351B" w:rsidRDefault="00E8351B" w:rsidP="003E01F3">
      <w:pPr>
        <w:pStyle w:val="Style6"/>
        <w:widowControl/>
        <w:ind w:firstLine="1134"/>
        <w:jc w:val="both"/>
        <w:rPr>
          <w:rStyle w:val="FontStyle14"/>
          <w:sz w:val="22"/>
          <w:szCs w:val="22"/>
        </w:rPr>
      </w:pPr>
      <w:proofErr w:type="gramStart"/>
      <w:r>
        <w:rPr>
          <w:rStyle w:val="FontStyle14"/>
          <w:sz w:val="22"/>
          <w:szCs w:val="22"/>
          <w:lang w:val="en-GB"/>
        </w:rPr>
        <w:t>(1) 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 on 7 August 2015 the European Banking Authority issued the Guidelines on factual circumstances amounting to a material threat to financial stability and on the elements related to the effectiveness of the sale of business tool under Article 39(4) of Directive 2014/59/EU (hereinafter: the guidelines), which are published on its website.</w:t>
      </w:r>
      <w:proofErr w:type="gramEnd"/>
    </w:p>
    <w:p w14:paraId="4160B881" w14:textId="77777777" w:rsidR="00E8351B" w:rsidRPr="00E8351B" w:rsidRDefault="00E8351B" w:rsidP="003E01F3">
      <w:pPr>
        <w:pStyle w:val="Style6"/>
        <w:widowControl/>
        <w:ind w:firstLine="1134"/>
        <w:jc w:val="both"/>
        <w:rPr>
          <w:rStyle w:val="FontStyle14"/>
          <w:sz w:val="22"/>
          <w:szCs w:val="22"/>
        </w:rPr>
      </w:pPr>
    </w:p>
    <w:p w14:paraId="4469BA2F" w14:textId="36930355" w:rsidR="00E8351B" w:rsidRDefault="00E8351B" w:rsidP="003E01F3">
      <w:pPr>
        <w:pStyle w:val="Style6"/>
        <w:widowControl/>
        <w:ind w:firstLine="1134"/>
        <w:jc w:val="both"/>
        <w:rPr>
          <w:rStyle w:val="FontStyle14"/>
          <w:sz w:val="22"/>
          <w:szCs w:val="22"/>
        </w:rPr>
      </w:pPr>
      <w:proofErr w:type="gramStart"/>
      <w:r>
        <w:rPr>
          <w:rStyle w:val="FontStyle14"/>
          <w:sz w:val="22"/>
          <w:szCs w:val="22"/>
          <w:lang w:val="en-GB"/>
        </w:rPr>
        <w:t>(2) The guidelines referred to in the first paragraph of this article set out the factual circumstances amounting to a material threat to financial stability arising from or aggravated by the failure or likely failure of an institution under resolution within the meaning of point (a) of Article 39(4) of Directive 2014/59/EU, and the elements where compliance with requirements to market the institution as specified in Article 39(1) of Directive 2014/59/EU would be likely to undermine the effectiveness of the sale of business tool in addressing that threat or achieving the resolution objective referred to in point (b) of Article 31(2) of Directive 2014/59/EU.</w:t>
      </w:r>
      <w:proofErr w:type="gramEnd"/>
    </w:p>
    <w:p w14:paraId="40F39EE2" w14:textId="77777777" w:rsidR="00E8351B" w:rsidRPr="00E8351B" w:rsidRDefault="00E8351B" w:rsidP="00E8351B">
      <w:pPr>
        <w:pStyle w:val="Style6"/>
        <w:widowControl/>
        <w:ind w:firstLine="567"/>
        <w:jc w:val="both"/>
        <w:rPr>
          <w:rStyle w:val="FontStyle14"/>
          <w:sz w:val="22"/>
          <w:szCs w:val="22"/>
        </w:rPr>
      </w:pPr>
    </w:p>
    <w:p w14:paraId="271869BA" w14:textId="5D23171F" w:rsidR="00E8351B" w:rsidRDefault="00E8351B" w:rsidP="003E01F3">
      <w:pPr>
        <w:pStyle w:val="Style6"/>
        <w:widowControl/>
        <w:ind w:firstLine="1134"/>
        <w:jc w:val="both"/>
        <w:rPr>
          <w:rStyle w:val="FontStyle14"/>
          <w:sz w:val="22"/>
          <w:szCs w:val="22"/>
        </w:rPr>
      </w:pPr>
      <w:r>
        <w:rPr>
          <w:rStyle w:val="FontStyle14"/>
          <w:sz w:val="22"/>
          <w:szCs w:val="22"/>
          <w:lang w:val="en-GB"/>
        </w:rPr>
        <w:t>(3) The guidelines apply to the resolution authorities referred to in point (</w:t>
      </w:r>
      <w:proofErr w:type="gramStart"/>
      <w:r>
        <w:rPr>
          <w:rStyle w:val="FontStyle14"/>
          <w:sz w:val="22"/>
          <w:szCs w:val="22"/>
          <w:lang w:val="en-GB"/>
        </w:rPr>
        <w:t>iv</w:t>
      </w:r>
      <w:proofErr w:type="gramEnd"/>
      <w:r>
        <w:rPr>
          <w:rStyle w:val="FontStyle14"/>
          <w:sz w:val="22"/>
          <w:szCs w:val="22"/>
          <w:lang w:val="en-GB"/>
        </w:rPr>
        <w:t>) of Article 4(2) of Regulation (EU) No 1093/2010.</w:t>
      </w:r>
    </w:p>
    <w:p w14:paraId="263AE3FE" w14:textId="77777777" w:rsidR="00E8351B" w:rsidRPr="00E8351B" w:rsidRDefault="00E8351B" w:rsidP="00E8351B">
      <w:pPr>
        <w:pStyle w:val="Style6"/>
        <w:widowControl/>
        <w:ind w:firstLine="567"/>
        <w:jc w:val="both"/>
        <w:rPr>
          <w:rStyle w:val="FontStyle14"/>
          <w:sz w:val="22"/>
          <w:szCs w:val="22"/>
        </w:rPr>
      </w:pPr>
    </w:p>
    <w:p w14:paraId="6E9CD770" w14:textId="77777777" w:rsidR="00E8351B" w:rsidRPr="00E8351B" w:rsidRDefault="00E8351B" w:rsidP="00E8351B">
      <w:pPr>
        <w:pStyle w:val="Style6"/>
        <w:widowControl/>
        <w:jc w:val="center"/>
        <w:rPr>
          <w:rStyle w:val="FontStyle14"/>
          <w:b/>
          <w:bCs/>
          <w:sz w:val="22"/>
          <w:szCs w:val="22"/>
        </w:rPr>
      </w:pPr>
      <w:r>
        <w:rPr>
          <w:rStyle w:val="FontStyle14"/>
          <w:b/>
          <w:bCs/>
          <w:sz w:val="22"/>
          <w:szCs w:val="22"/>
          <w:lang w:val="en-GB"/>
        </w:rPr>
        <w:t>Article 2</w:t>
      </w:r>
    </w:p>
    <w:p w14:paraId="1201DFD9" w14:textId="3C49580C" w:rsidR="00E8351B" w:rsidRDefault="00E8351B" w:rsidP="00E8351B">
      <w:pPr>
        <w:pStyle w:val="Style6"/>
        <w:widowControl/>
        <w:jc w:val="center"/>
        <w:rPr>
          <w:rStyle w:val="FontStyle14"/>
          <w:b/>
          <w:bCs/>
          <w:sz w:val="22"/>
          <w:szCs w:val="22"/>
        </w:rPr>
      </w:pPr>
      <w:r>
        <w:rPr>
          <w:rStyle w:val="FontStyle14"/>
          <w:b/>
          <w:bCs/>
          <w:sz w:val="22"/>
          <w:szCs w:val="22"/>
          <w:lang w:val="en-GB"/>
        </w:rPr>
        <w:t>(</w:t>
      </w:r>
      <w:proofErr w:type="gramStart"/>
      <w:r>
        <w:rPr>
          <w:rStyle w:val="FontStyle14"/>
          <w:b/>
          <w:bCs/>
          <w:sz w:val="22"/>
          <w:szCs w:val="22"/>
          <w:lang w:val="en-GB"/>
        </w:rPr>
        <w:t>content</w:t>
      </w:r>
      <w:proofErr w:type="gramEnd"/>
      <w:r>
        <w:rPr>
          <w:rStyle w:val="FontStyle14"/>
          <w:b/>
          <w:bCs/>
          <w:sz w:val="22"/>
          <w:szCs w:val="22"/>
          <w:lang w:val="en-GB"/>
        </w:rPr>
        <w:t xml:space="preserve"> of regulation and scope of application of guidelines)</w:t>
      </w:r>
    </w:p>
    <w:p w14:paraId="64C396DA" w14:textId="77777777" w:rsidR="00E8351B" w:rsidRPr="00E8351B" w:rsidRDefault="00E8351B" w:rsidP="00E8351B">
      <w:pPr>
        <w:pStyle w:val="Style6"/>
        <w:widowControl/>
        <w:jc w:val="center"/>
        <w:rPr>
          <w:rStyle w:val="FontStyle14"/>
          <w:b/>
          <w:bCs/>
          <w:sz w:val="22"/>
          <w:szCs w:val="22"/>
        </w:rPr>
      </w:pPr>
    </w:p>
    <w:p w14:paraId="6CF53A8E" w14:textId="557BD89E" w:rsidR="00E8351B" w:rsidRDefault="00E8351B" w:rsidP="003E01F3">
      <w:pPr>
        <w:pStyle w:val="Style6"/>
        <w:widowControl/>
        <w:ind w:firstLine="1134"/>
        <w:jc w:val="both"/>
        <w:rPr>
          <w:rStyle w:val="FontStyle14"/>
          <w:sz w:val="22"/>
          <w:szCs w:val="22"/>
        </w:rPr>
      </w:pPr>
      <w:r>
        <w:rPr>
          <w:rStyle w:val="FontStyle14"/>
          <w:sz w:val="22"/>
          <w:szCs w:val="22"/>
          <w:lang w:val="en-GB"/>
        </w:rPr>
        <w:t>(1) By virtue of this regulation Banka Slovenije sets out the application of the guidelines and all their future amendments, unless stipulated otherwise by Banka Slovenije in respect of a particular amendment to the guidelines, to Banka Slovenije, when it is exercising the powers and tasks of the resolution authority in accordance with the ZRPPB-1.</w:t>
      </w:r>
    </w:p>
    <w:p w14:paraId="0B3200BD" w14:textId="77777777" w:rsidR="00E8351B" w:rsidRPr="00E8351B" w:rsidRDefault="00E8351B" w:rsidP="003E01F3">
      <w:pPr>
        <w:pStyle w:val="Style6"/>
        <w:widowControl/>
        <w:ind w:firstLine="1134"/>
        <w:jc w:val="both"/>
        <w:rPr>
          <w:rStyle w:val="FontStyle14"/>
          <w:sz w:val="22"/>
          <w:szCs w:val="22"/>
        </w:rPr>
      </w:pPr>
    </w:p>
    <w:p w14:paraId="16D458AB" w14:textId="18531640" w:rsidR="00E8351B" w:rsidRDefault="00E8351B" w:rsidP="003E01F3">
      <w:pPr>
        <w:pStyle w:val="Style6"/>
        <w:widowControl/>
        <w:ind w:firstLine="1134"/>
        <w:jc w:val="both"/>
        <w:rPr>
          <w:rStyle w:val="FontStyle14"/>
          <w:sz w:val="22"/>
          <w:szCs w:val="22"/>
        </w:rPr>
      </w:pPr>
      <w:r>
        <w:rPr>
          <w:rStyle w:val="FontStyle14"/>
          <w:sz w:val="22"/>
          <w:szCs w:val="22"/>
          <w:lang w:val="en-GB"/>
        </w:rPr>
        <w:t>(2) In exercising the powers and tasks of the resolution authority in accordance with the ZRPPB-1, Banka Slovenije shall take full account of the provisions of the guidelines in those parts relating to the exercise of the powers and tasks of resolution authorities.</w:t>
      </w:r>
    </w:p>
    <w:p w14:paraId="46894295" w14:textId="5B889EF6" w:rsidR="00E8351B" w:rsidRDefault="00E8351B" w:rsidP="00E8351B">
      <w:pPr>
        <w:pStyle w:val="Style6"/>
        <w:widowControl/>
        <w:ind w:firstLine="567"/>
        <w:jc w:val="both"/>
        <w:rPr>
          <w:rStyle w:val="FontStyle14"/>
          <w:sz w:val="22"/>
          <w:szCs w:val="22"/>
        </w:rPr>
      </w:pPr>
    </w:p>
    <w:p w14:paraId="23472B25" w14:textId="7C4EF3DE" w:rsidR="006C0680" w:rsidRDefault="006C0680" w:rsidP="00E8351B">
      <w:pPr>
        <w:pStyle w:val="Style6"/>
        <w:widowControl/>
        <w:ind w:firstLine="567"/>
        <w:jc w:val="both"/>
        <w:rPr>
          <w:rStyle w:val="FontStyle14"/>
          <w:sz w:val="22"/>
          <w:szCs w:val="22"/>
        </w:rPr>
      </w:pPr>
    </w:p>
    <w:p w14:paraId="7BEE8C26" w14:textId="09837B6E" w:rsidR="006C0680" w:rsidRDefault="006C0680" w:rsidP="00E8351B">
      <w:pPr>
        <w:pStyle w:val="Style6"/>
        <w:widowControl/>
        <w:ind w:firstLine="567"/>
        <w:jc w:val="both"/>
        <w:rPr>
          <w:rStyle w:val="FontStyle14"/>
          <w:sz w:val="22"/>
          <w:szCs w:val="22"/>
        </w:rPr>
      </w:pPr>
    </w:p>
    <w:p w14:paraId="1422D48D" w14:textId="1740D16F" w:rsidR="006C0680" w:rsidRDefault="006C0680" w:rsidP="00E8351B">
      <w:pPr>
        <w:pStyle w:val="Style6"/>
        <w:widowControl/>
        <w:ind w:firstLine="567"/>
        <w:jc w:val="both"/>
        <w:rPr>
          <w:rStyle w:val="FontStyle14"/>
          <w:sz w:val="22"/>
          <w:szCs w:val="22"/>
        </w:rPr>
      </w:pPr>
    </w:p>
    <w:p w14:paraId="2CAF493F" w14:textId="77777777" w:rsidR="006C0680" w:rsidRPr="00E8351B" w:rsidRDefault="006C0680" w:rsidP="00E8351B">
      <w:pPr>
        <w:pStyle w:val="Style6"/>
        <w:widowControl/>
        <w:ind w:firstLine="567"/>
        <w:jc w:val="both"/>
        <w:rPr>
          <w:rStyle w:val="FontStyle14"/>
          <w:sz w:val="22"/>
          <w:szCs w:val="22"/>
        </w:rPr>
      </w:pPr>
      <w:bookmarkStart w:id="0" w:name="_GoBack"/>
      <w:bookmarkEnd w:id="0"/>
    </w:p>
    <w:p w14:paraId="24880DE1" w14:textId="77777777" w:rsidR="00E8351B" w:rsidRDefault="00E8351B" w:rsidP="00E8351B">
      <w:pPr>
        <w:pStyle w:val="Style6"/>
        <w:widowControl/>
        <w:jc w:val="center"/>
        <w:rPr>
          <w:rStyle w:val="FontStyle14"/>
          <w:b/>
          <w:bCs/>
          <w:sz w:val="22"/>
          <w:szCs w:val="22"/>
        </w:rPr>
      </w:pPr>
      <w:r>
        <w:rPr>
          <w:rStyle w:val="FontStyle14"/>
          <w:b/>
          <w:bCs/>
          <w:sz w:val="22"/>
          <w:szCs w:val="22"/>
          <w:lang w:val="en-GB"/>
        </w:rPr>
        <w:lastRenderedPageBreak/>
        <w:t xml:space="preserve">Article 3 </w:t>
      </w:r>
    </w:p>
    <w:p w14:paraId="6AA4B593" w14:textId="1ACC23D9" w:rsidR="00E8351B" w:rsidRPr="00E8351B" w:rsidRDefault="00E8351B" w:rsidP="00E8351B">
      <w:pPr>
        <w:pStyle w:val="Style6"/>
        <w:widowControl/>
        <w:jc w:val="center"/>
        <w:rPr>
          <w:rStyle w:val="FontStyle14"/>
          <w:b/>
          <w:bCs/>
          <w:sz w:val="22"/>
          <w:szCs w:val="22"/>
        </w:rPr>
      </w:pPr>
      <w:r>
        <w:rPr>
          <w:rStyle w:val="FontStyle14"/>
          <w:b/>
          <w:bCs/>
          <w:sz w:val="22"/>
          <w:szCs w:val="22"/>
          <w:lang w:val="en-GB"/>
        </w:rPr>
        <w:t>(</w:t>
      </w:r>
      <w:proofErr w:type="gramStart"/>
      <w:r>
        <w:rPr>
          <w:rStyle w:val="FontStyle14"/>
          <w:b/>
          <w:bCs/>
          <w:sz w:val="22"/>
          <w:szCs w:val="22"/>
          <w:lang w:val="en-GB"/>
        </w:rPr>
        <w:t>repeal</w:t>
      </w:r>
      <w:proofErr w:type="gramEnd"/>
      <w:r>
        <w:rPr>
          <w:rStyle w:val="FontStyle14"/>
          <w:b/>
          <w:bCs/>
          <w:sz w:val="22"/>
          <w:szCs w:val="22"/>
          <w:lang w:val="en-GB"/>
        </w:rPr>
        <w:t xml:space="preserve"> of regulations)</w:t>
      </w:r>
    </w:p>
    <w:p w14:paraId="09117D09" w14:textId="77777777" w:rsidR="00E8351B" w:rsidRDefault="00E8351B" w:rsidP="00E70AE7">
      <w:pPr>
        <w:pStyle w:val="Style6"/>
        <w:widowControl/>
        <w:jc w:val="both"/>
        <w:rPr>
          <w:rStyle w:val="FontStyle14"/>
          <w:sz w:val="22"/>
          <w:szCs w:val="22"/>
        </w:rPr>
      </w:pPr>
    </w:p>
    <w:p w14:paraId="48D6BE6B" w14:textId="2B6142C5" w:rsidR="00E8351B" w:rsidRDefault="00E8351B" w:rsidP="00E8351B">
      <w:pPr>
        <w:pStyle w:val="Style6"/>
        <w:widowControl/>
        <w:jc w:val="both"/>
        <w:rPr>
          <w:rStyle w:val="FontStyle14"/>
          <w:sz w:val="22"/>
          <w:szCs w:val="22"/>
        </w:rPr>
      </w:pPr>
      <w:proofErr w:type="gramStart"/>
      <w:r>
        <w:rPr>
          <w:rStyle w:val="FontStyle14"/>
          <w:sz w:val="22"/>
          <w:szCs w:val="22"/>
          <w:lang w:val="en-GB"/>
        </w:rPr>
        <w:t>On the day this regulation enters into force, the Regulation on the application of the Guidelines on factual circumstances amounting to a material threat to financial stability and on the elements related to the effectiveness of the sale of business tool under Article 39(4) of Directive 2014/59/EU (Official Gazette of the Republic of Slovenia, Nos. 48/17 and 92/21; [ ZRPPB-1]) shall cease to be in force.</w:t>
      </w:r>
      <w:proofErr w:type="gramEnd"/>
    </w:p>
    <w:p w14:paraId="4D4B446D" w14:textId="77777777" w:rsidR="00E8351B" w:rsidRPr="00E8351B" w:rsidRDefault="00E8351B" w:rsidP="00E8351B">
      <w:pPr>
        <w:pStyle w:val="Style6"/>
        <w:widowControl/>
        <w:jc w:val="both"/>
        <w:rPr>
          <w:rStyle w:val="FontStyle14"/>
          <w:sz w:val="22"/>
          <w:szCs w:val="22"/>
        </w:rPr>
      </w:pPr>
    </w:p>
    <w:p w14:paraId="4693B625" w14:textId="77777777" w:rsidR="00E8351B" w:rsidRDefault="00E8351B" w:rsidP="00E8351B">
      <w:pPr>
        <w:pStyle w:val="Style6"/>
        <w:widowControl/>
        <w:jc w:val="center"/>
        <w:rPr>
          <w:rStyle w:val="FontStyle14"/>
          <w:b/>
          <w:bCs/>
          <w:sz w:val="22"/>
          <w:szCs w:val="22"/>
        </w:rPr>
      </w:pPr>
      <w:r>
        <w:rPr>
          <w:rStyle w:val="FontStyle14"/>
          <w:b/>
          <w:bCs/>
          <w:sz w:val="22"/>
          <w:szCs w:val="22"/>
          <w:lang w:val="en-GB"/>
        </w:rPr>
        <w:t xml:space="preserve">Article 4 </w:t>
      </w:r>
    </w:p>
    <w:p w14:paraId="7153E722" w14:textId="2BBF81DC" w:rsidR="00E8351B" w:rsidRDefault="00E8351B" w:rsidP="00E8351B">
      <w:pPr>
        <w:pStyle w:val="Style6"/>
        <w:widowControl/>
        <w:jc w:val="center"/>
        <w:rPr>
          <w:rStyle w:val="FontStyle14"/>
          <w:b/>
          <w:bCs/>
          <w:sz w:val="22"/>
          <w:szCs w:val="22"/>
        </w:rPr>
      </w:pPr>
      <w:r>
        <w:rPr>
          <w:rStyle w:val="FontStyle14"/>
          <w:b/>
          <w:bCs/>
          <w:sz w:val="22"/>
          <w:szCs w:val="22"/>
          <w:lang w:val="en-GB"/>
        </w:rPr>
        <w:t>(</w:t>
      </w:r>
      <w:proofErr w:type="gramStart"/>
      <w:r>
        <w:rPr>
          <w:rStyle w:val="FontStyle14"/>
          <w:b/>
          <w:bCs/>
          <w:sz w:val="22"/>
          <w:szCs w:val="22"/>
          <w:lang w:val="en-GB"/>
        </w:rPr>
        <w:t>entry</w:t>
      </w:r>
      <w:proofErr w:type="gramEnd"/>
      <w:r>
        <w:rPr>
          <w:rStyle w:val="FontStyle14"/>
          <w:b/>
          <w:bCs/>
          <w:sz w:val="22"/>
          <w:szCs w:val="22"/>
          <w:lang w:val="en-GB"/>
        </w:rPr>
        <w:t xml:space="preserve"> into force of regulation)</w:t>
      </w:r>
    </w:p>
    <w:p w14:paraId="6CE59548" w14:textId="77777777" w:rsidR="00E8351B" w:rsidRPr="00E8351B" w:rsidRDefault="00E8351B" w:rsidP="00E8351B">
      <w:pPr>
        <w:pStyle w:val="Style6"/>
        <w:widowControl/>
        <w:jc w:val="center"/>
        <w:rPr>
          <w:rStyle w:val="FontStyle14"/>
          <w:b/>
          <w:bCs/>
          <w:sz w:val="22"/>
          <w:szCs w:val="22"/>
        </w:rPr>
      </w:pPr>
    </w:p>
    <w:p w14:paraId="52FB506F" w14:textId="2529184E" w:rsidR="00E8351B" w:rsidRDefault="00E8351B" w:rsidP="003E01F3">
      <w:pPr>
        <w:pStyle w:val="Style6"/>
        <w:widowControl/>
        <w:ind w:firstLine="1134"/>
        <w:jc w:val="both"/>
        <w:rPr>
          <w:rStyle w:val="FontStyle14"/>
          <w:sz w:val="22"/>
          <w:szCs w:val="22"/>
        </w:rPr>
      </w:pPr>
      <w:r>
        <w:rPr>
          <w:rStyle w:val="FontStyle14"/>
          <w:sz w:val="22"/>
          <w:szCs w:val="22"/>
          <w:lang w:val="en-GB"/>
        </w:rPr>
        <w:t>This regulation shall enter into force on the day after its publication in the Official Gazette of the Republic of Slovenia.</w:t>
      </w:r>
    </w:p>
    <w:p w14:paraId="36EEF4CB" w14:textId="77777777" w:rsidR="00E8351B" w:rsidRDefault="00E8351B" w:rsidP="00E70AE7">
      <w:pPr>
        <w:pStyle w:val="Style6"/>
        <w:widowControl/>
        <w:jc w:val="both"/>
        <w:rPr>
          <w:rStyle w:val="FontStyle14"/>
          <w:sz w:val="22"/>
          <w:szCs w:val="22"/>
        </w:rPr>
      </w:pPr>
    </w:p>
    <w:p w14:paraId="7B45CEE8" w14:textId="77777777" w:rsidR="00E8351B" w:rsidRDefault="00E8351B" w:rsidP="00E70AE7">
      <w:pPr>
        <w:pStyle w:val="Style6"/>
        <w:widowControl/>
        <w:jc w:val="both"/>
        <w:rPr>
          <w:rStyle w:val="FontStyle14"/>
          <w:sz w:val="22"/>
          <w:szCs w:val="22"/>
        </w:rPr>
      </w:pPr>
    </w:p>
    <w:p w14:paraId="184905EF" w14:textId="0831D85B" w:rsidR="00B60E27" w:rsidRDefault="00122416" w:rsidP="00E70AE7">
      <w:pPr>
        <w:pStyle w:val="Style6"/>
        <w:widowControl/>
        <w:jc w:val="both"/>
        <w:rPr>
          <w:rStyle w:val="FontStyle14"/>
          <w:sz w:val="22"/>
          <w:szCs w:val="22"/>
        </w:rPr>
      </w:pPr>
      <w:r>
        <w:rPr>
          <w:rStyle w:val="FontStyle14"/>
          <w:sz w:val="22"/>
          <w:szCs w:val="22"/>
          <w:lang w:val="en-GB"/>
        </w:rPr>
        <w:t>Ljubljana, 2 November 2021</w:t>
      </w:r>
    </w:p>
    <w:p w14:paraId="79D3C480" w14:textId="4C265537" w:rsidR="00E82917" w:rsidRDefault="00E82917" w:rsidP="00E70AE7">
      <w:pPr>
        <w:pStyle w:val="Style6"/>
        <w:widowControl/>
        <w:jc w:val="both"/>
        <w:rPr>
          <w:rStyle w:val="FontStyle14"/>
          <w:sz w:val="22"/>
          <w:szCs w:val="22"/>
        </w:rPr>
      </w:pPr>
    </w:p>
    <w:p w14:paraId="759FFC6A" w14:textId="77777777" w:rsidR="00E82917" w:rsidRPr="00E82917" w:rsidRDefault="00E82917" w:rsidP="00E70AE7">
      <w:pPr>
        <w:pStyle w:val="Style6"/>
        <w:widowControl/>
        <w:jc w:val="both"/>
        <w:rPr>
          <w:rStyle w:val="FontStyle14"/>
          <w:sz w:val="22"/>
          <w:szCs w:val="22"/>
        </w:rPr>
      </w:pPr>
    </w:p>
    <w:p w14:paraId="44756423" w14:textId="37A1E567" w:rsidR="00B60E27" w:rsidRPr="00E82917" w:rsidRDefault="00122416" w:rsidP="00E82917">
      <w:pPr>
        <w:pStyle w:val="Style5"/>
        <w:widowControl/>
        <w:ind w:left="6521"/>
        <w:jc w:val="center"/>
        <w:rPr>
          <w:rStyle w:val="FontStyle15"/>
          <w:sz w:val="22"/>
          <w:szCs w:val="22"/>
        </w:rPr>
      </w:pPr>
      <w:r>
        <w:rPr>
          <w:rStyle w:val="FontStyle15"/>
          <w:sz w:val="22"/>
          <w:szCs w:val="22"/>
          <w:lang w:val="en-GB"/>
        </w:rPr>
        <w:t>Boštjan Vasle</w:t>
      </w:r>
    </w:p>
    <w:p w14:paraId="668F6309" w14:textId="530025A3" w:rsidR="00122416" w:rsidRPr="00E8351B" w:rsidRDefault="00122416" w:rsidP="00E82917">
      <w:pPr>
        <w:pStyle w:val="Style4"/>
        <w:widowControl/>
        <w:ind w:left="6521"/>
        <w:jc w:val="center"/>
        <w:rPr>
          <w:rStyle w:val="FontStyle14"/>
          <w:b/>
          <w:bCs/>
          <w:sz w:val="22"/>
          <w:szCs w:val="22"/>
        </w:rPr>
      </w:pPr>
      <w:r>
        <w:rPr>
          <w:rStyle w:val="FontStyle14"/>
          <w:b/>
          <w:bCs/>
          <w:sz w:val="22"/>
          <w:szCs w:val="22"/>
          <w:lang w:val="en-GB"/>
        </w:rPr>
        <w:t xml:space="preserve">President, </w:t>
      </w:r>
      <w:r>
        <w:rPr>
          <w:rStyle w:val="FontStyle14"/>
          <w:sz w:val="22"/>
          <w:szCs w:val="22"/>
          <w:lang w:val="en-GB"/>
        </w:rPr>
        <w:br/>
      </w:r>
      <w:r>
        <w:rPr>
          <w:rStyle w:val="FontStyle14"/>
          <w:b/>
          <w:bCs/>
          <w:sz w:val="22"/>
          <w:szCs w:val="22"/>
          <w:lang w:val="en-GB"/>
        </w:rPr>
        <w:t>Governing Board of Banka Slovenije</w:t>
      </w:r>
    </w:p>
    <w:sectPr w:rsidR="00122416" w:rsidRPr="00E8351B" w:rsidSect="00E82917">
      <w:headerReference w:type="even" r:id="rId6"/>
      <w:headerReference w:type="default" r:id="rId7"/>
      <w:footerReference w:type="even" r:id="rId8"/>
      <w:footerReference w:type="default" r:id="rId9"/>
      <w:headerReference w:type="first" r:id="rId10"/>
      <w:footerReference w:type="first" r:id="rId11"/>
      <w:pgSz w:w="11909" w:h="16834" w:code="9"/>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0B344" w14:textId="77777777" w:rsidR="005B58AF" w:rsidRDefault="005B58AF">
      <w:r>
        <w:separator/>
      </w:r>
    </w:p>
  </w:endnote>
  <w:endnote w:type="continuationSeparator" w:id="0">
    <w:p w14:paraId="6C5B6334" w14:textId="77777777" w:rsidR="005B58AF" w:rsidRDefault="005B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DAFA" w14:textId="77777777" w:rsidR="00AE0413" w:rsidRDefault="00AE041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3A07" w14:textId="77777777" w:rsidR="00AE0413" w:rsidRDefault="00AE041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412A" w14:textId="77777777" w:rsidR="00AE0413" w:rsidRDefault="00AE041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2029D" w14:textId="77777777" w:rsidR="005B58AF" w:rsidRDefault="005B58AF">
      <w:r>
        <w:separator/>
      </w:r>
    </w:p>
  </w:footnote>
  <w:footnote w:type="continuationSeparator" w:id="0">
    <w:p w14:paraId="38C15BA9" w14:textId="77777777" w:rsidR="005B58AF" w:rsidRDefault="005B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2AF9" w14:textId="77777777" w:rsidR="00AE0413" w:rsidRDefault="00AE041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C6D9" w14:textId="577C314A" w:rsidR="008E7886" w:rsidRDefault="008E7886" w:rsidP="008E7886">
    <w:pPr>
      <w:pStyle w:val="Glava"/>
      <w:tabs>
        <w:tab w:val="clear" w:pos="9072"/>
        <w:tab w:val="right" w:pos="8647"/>
      </w:tabs>
      <w:ind w:right="-99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F6AD" w14:textId="77777777" w:rsidR="00AE0413" w:rsidRPr="00AE0413" w:rsidRDefault="00AE0413" w:rsidP="00AE0413">
    <w:pPr>
      <w:pStyle w:val="Glava"/>
      <w:tabs>
        <w:tab w:val="right" w:pos="8647"/>
      </w:tabs>
      <w:ind w:right="-990"/>
      <w:jc w:val="right"/>
      <w:rPr>
        <w:b/>
      </w:rPr>
    </w:pPr>
    <w:r w:rsidRPr="00AE0413">
      <w:rPr>
        <w:b/>
      </w:rPr>
      <w:t xml:space="preserve">THIS TEXT IS UNOFFICIAL TRANSLATION AND MAY NOT BE USED AS A BASIS FOR </w:t>
    </w:r>
  </w:p>
  <w:p w14:paraId="13BC2022" w14:textId="7EB61180" w:rsidR="00E82917" w:rsidRPr="00AE0413" w:rsidRDefault="00AE0413" w:rsidP="00AE0413">
    <w:pPr>
      <w:pStyle w:val="Glava"/>
      <w:tabs>
        <w:tab w:val="clear" w:pos="9072"/>
        <w:tab w:val="right" w:pos="8647"/>
      </w:tabs>
      <w:ind w:right="-990"/>
      <w:jc w:val="center"/>
      <w:rPr>
        <w:b/>
      </w:rPr>
    </w:pPr>
    <w:r w:rsidRPr="00AE0413">
      <w:rPr>
        <w:b/>
      </w:rPr>
      <w:t>SOLVING ANY DISPUTE</w:t>
    </w:r>
  </w:p>
  <w:p w14:paraId="04F76128" w14:textId="77777777" w:rsidR="00E82917" w:rsidRPr="00AE0413" w:rsidRDefault="00E82917">
    <w:pPr>
      <w:pStyle w:val="Glava"/>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AE7"/>
    <w:rsid w:val="00122416"/>
    <w:rsid w:val="00216D81"/>
    <w:rsid w:val="003E01F3"/>
    <w:rsid w:val="005B58AF"/>
    <w:rsid w:val="006C0680"/>
    <w:rsid w:val="00752975"/>
    <w:rsid w:val="008E7886"/>
    <w:rsid w:val="0091673E"/>
    <w:rsid w:val="00AE0413"/>
    <w:rsid w:val="00B60E27"/>
    <w:rsid w:val="00BB3F7A"/>
    <w:rsid w:val="00BF2EC8"/>
    <w:rsid w:val="00C92642"/>
    <w:rsid w:val="00E2515C"/>
    <w:rsid w:val="00E70AE7"/>
    <w:rsid w:val="00E82917"/>
    <w:rsid w:val="00E835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2597D"/>
  <w14:defaultImageDpi w14:val="0"/>
  <w15:docId w15:val="{1C5C07E9-74A2-4B46-879B-35498570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autoSpaceDE w:val="0"/>
      <w:autoSpaceDN w:val="0"/>
      <w:adjustRightInd w:val="0"/>
    </w:pPr>
    <w:rPr>
      <w:rFonts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style>
  <w:style w:type="paragraph" w:customStyle="1" w:styleId="Style2">
    <w:name w:val="Style2"/>
    <w:basedOn w:val="Navaden"/>
    <w:uiPriority w:val="99"/>
  </w:style>
  <w:style w:type="paragraph" w:customStyle="1" w:styleId="Style3">
    <w:name w:val="Style3"/>
    <w:basedOn w:val="Navaden"/>
    <w:uiPriority w:val="99"/>
  </w:style>
  <w:style w:type="paragraph" w:customStyle="1" w:styleId="Style4">
    <w:name w:val="Style4"/>
    <w:basedOn w:val="Navaden"/>
    <w:uiPriority w:val="99"/>
  </w:style>
  <w:style w:type="paragraph" w:customStyle="1" w:styleId="Style5">
    <w:name w:val="Style5"/>
    <w:basedOn w:val="Navaden"/>
    <w:uiPriority w:val="99"/>
  </w:style>
  <w:style w:type="paragraph" w:customStyle="1" w:styleId="Style6">
    <w:name w:val="Style6"/>
    <w:basedOn w:val="Navaden"/>
    <w:uiPriority w:val="99"/>
  </w:style>
  <w:style w:type="paragraph" w:customStyle="1" w:styleId="Style7">
    <w:name w:val="Style7"/>
    <w:basedOn w:val="Navaden"/>
    <w:uiPriority w:val="99"/>
  </w:style>
  <w:style w:type="paragraph" w:customStyle="1" w:styleId="Style8">
    <w:name w:val="Style8"/>
    <w:basedOn w:val="Navaden"/>
    <w:uiPriority w:val="99"/>
  </w:style>
  <w:style w:type="paragraph" w:customStyle="1" w:styleId="Style9">
    <w:name w:val="Style9"/>
    <w:basedOn w:val="Navaden"/>
    <w:uiPriority w:val="99"/>
  </w:style>
  <w:style w:type="character" w:customStyle="1" w:styleId="FontStyle11">
    <w:name w:val="Font Style11"/>
    <w:uiPriority w:val="99"/>
    <w:rPr>
      <w:rFonts w:ascii="Arial" w:hAnsi="Arial" w:cs="Arial"/>
      <w:color w:val="000000"/>
      <w:sz w:val="10"/>
      <w:szCs w:val="10"/>
    </w:rPr>
  </w:style>
  <w:style w:type="character" w:customStyle="1" w:styleId="FontStyle12">
    <w:name w:val="Font Style12"/>
    <w:uiPriority w:val="99"/>
    <w:rPr>
      <w:rFonts w:ascii="Arial" w:hAnsi="Arial" w:cs="Arial"/>
      <w:color w:val="000000"/>
      <w:sz w:val="8"/>
      <w:szCs w:val="8"/>
    </w:rPr>
  </w:style>
  <w:style w:type="character" w:customStyle="1" w:styleId="FontStyle13">
    <w:name w:val="Font Style13"/>
    <w:uiPriority w:val="99"/>
    <w:rPr>
      <w:rFonts w:ascii="Arial" w:hAnsi="Arial" w:cs="Arial"/>
      <w:color w:val="000000"/>
      <w:sz w:val="8"/>
      <w:szCs w:val="8"/>
    </w:rPr>
  </w:style>
  <w:style w:type="character" w:customStyle="1" w:styleId="FontStyle14">
    <w:name w:val="Font Style14"/>
    <w:uiPriority w:val="99"/>
    <w:rPr>
      <w:rFonts w:ascii="Arial" w:hAnsi="Arial" w:cs="Arial"/>
      <w:color w:val="000000"/>
      <w:sz w:val="20"/>
      <w:szCs w:val="20"/>
    </w:rPr>
  </w:style>
  <w:style w:type="character" w:customStyle="1" w:styleId="FontStyle15">
    <w:name w:val="Font Style15"/>
    <w:uiPriority w:val="99"/>
    <w:rPr>
      <w:rFonts w:ascii="Arial" w:hAnsi="Arial" w:cs="Arial"/>
      <w:b/>
      <w:bCs/>
      <w:color w:val="000000"/>
      <w:sz w:val="20"/>
      <w:szCs w:val="20"/>
    </w:rPr>
  </w:style>
  <w:style w:type="character" w:styleId="Hiperpovezava">
    <w:name w:val="Hyperlink"/>
    <w:uiPriority w:val="99"/>
    <w:rPr>
      <w:color w:val="0066CC"/>
      <w:u w:val="single"/>
    </w:rPr>
  </w:style>
  <w:style w:type="paragraph" w:styleId="Glava">
    <w:name w:val="header"/>
    <w:basedOn w:val="Navaden"/>
    <w:link w:val="GlavaZnak"/>
    <w:uiPriority w:val="99"/>
    <w:unhideWhenUsed/>
    <w:rsid w:val="008E7886"/>
    <w:pPr>
      <w:tabs>
        <w:tab w:val="center" w:pos="4536"/>
        <w:tab w:val="right" w:pos="9072"/>
      </w:tabs>
    </w:pPr>
  </w:style>
  <w:style w:type="character" w:customStyle="1" w:styleId="GlavaZnak">
    <w:name w:val="Glava Znak"/>
    <w:link w:val="Glava"/>
    <w:uiPriority w:val="99"/>
    <w:rsid w:val="008E7886"/>
    <w:rPr>
      <w:rFonts w:hAnsi="Arial" w:cs="Arial"/>
      <w:sz w:val="24"/>
      <w:szCs w:val="24"/>
    </w:rPr>
  </w:style>
  <w:style w:type="paragraph" w:styleId="Noga">
    <w:name w:val="footer"/>
    <w:basedOn w:val="Navaden"/>
    <w:link w:val="NogaZnak"/>
    <w:uiPriority w:val="99"/>
    <w:unhideWhenUsed/>
    <w:rsid w:val="008E7886"/>
    <w:pPr>
      <w:tabs>
        <w:tab w:val="center" w:pos="4536"/>
        <w:tab w:val="right" w:pos="9072"/>
      </w:tabs>
    </w:pPr>
  </w:style>
  <w:style w:type="character" w:customStyle="1" w:styleId="NogaZnak">
    <w:name w:val="Noga Znak"/>
    <w:link w:val="Noga"/>
    <w:uiPriority w:val="99"/>
    <w:rsid w:val="008E7886"/>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3068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Krauthaker Manca</dc:creator>
  <cp:keywords/>
  <dc:description/>
  <cp:lastModifiedBy>Drobež Mišo</cp:lastModifiedBy>
  <cp:revision>7</cp:revision>
  <dcterms:created xsi:type="dcterms:W3CDTF">2021-12-03T08:54:00Z</dcterms:created>
  <dcterms:modified xsi:type="dcterms:W3CDTF">2022-08-16T11:52:00Z</dcterms:modified>
</cp:coreProperties>
</file>