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28" w:type="dxa"/>
        <w:tblLayout w:type="fixed"/>
        <w:tblLook w:val="01E0" w:firstRow="1" w:lastRow="1" w:firstColumn="1" w:lastColumn="1" w:noHBand="0" w:noVBand="0"/>
      </w:tblPr>
      <w:tblGrid>
        <w:gridCol w:w="4248"/>
        <w:gridCol w:w="7880"/>
      </w:tblGrid>
      <w:tr w:rsidR="000321B5" w:rsidRPr="00B521EC" w:rsidTr="624C5C71">
        <w:trPr>
          <w:trHeight w:hRule="exact" w:val="3953"/>
        </w:trPr>
        <w:tc>
          <w:tcPr>
            <w:tcW w:w="4248" w:type="dxa"/>
            <w:shd w:val="clear" w:color="auto" w:fill="646464"/>
            <w:vAlign w:val="bottom"/>
          </w:tcPr>
          <w:p w:rsidR="000321B5" w:rsidRPr="00B521EC" w:rsidRDefault="000321B5" w:rsidP="009E7DD7">
            <w:pPr>
              <w:pStyle w:val="NeAdLogo"/>
            </w:pPr>
          </w:p>
        </w:tc>
        <w:tc>
          <w:tcPr>
            <w:tcW w:w="7880" w:type="dxa"/>
            <w:shd w:val="clear" w:color="auto" w:fill="auto"/>
            <w:vAlign w:val="center"/>
          </w:tcPr>
          <w:p w:rsidR="003369D2" w:rsidRDefault="003369D2" w:rsidP="003369D2">
            <w:pPr>
              <w:pStyle w:val="NeAdLogo"/>
            </w:pPr>
            <w:r w:rsidRPr="000F11E9">
              <w:rPr>
                <w:noProof/>
                <w:lang w:val="sl-SI" w:eastAsia="sl-SI"/>
              </w:rPr>
              <w:drawing>
                <wp:inline distT="0" distB="0" distL="0" distR="0" wp14:anchorId="4F99B5F6" wp14:editId="56E67FD9">
                  <wp:extent cx="10858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99" cy="1092299"/>
                          </a:xfrm>
                          <a:prstGeom prst="rect">
                            <a:avLst/>
                          </a:prstGeom>
                          <a:noFill/>
                        </pic:spPr>
                      </pic:pic>
                    </a:graphicData>
                  </a:graphic>
                </wp:inline>
              </w:drawing>
            </w:r>
            <w:r>
              <w:t xml:space="preserve">                </w:t>
            </w:r>
            <w:r w:rsidR="00B351E2" w:rsidRPr="000F11E9">
              <w:rPr>
                <w:noProof/>
                <w:lang w:val="sl-SI" w:eastAsia="sl-SI"/>
              </w:rPr>
              <w:drawing>
                <wp:inline distT="0" distB="0" distL="0" distR="0" wp14:anchorId="63C38DBC" wp14:editId="60214055">
                  <wp:extent cx="2438400" cy="4639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071" cy="484799"/>
                          </a:xfrm>
                          <a:prstGeom prst="rect">
                            <a:avLst/>
                          </a:prstGeom>
                          <a:noFill/>
                        </pic:spPr>
                      </pic:pic>
                    </a:graphicData>
                  </a:graphic>
                </wp:inline>
              </w:drawing>
            </w:r>
          </w:p>
          <w:p w:rsidR="00584219" w:rsidRPr="00B521EC" w:rsidRDefault="003369D2" w:rsidP="003D727E">
            <w:pPr>
              <w:pStyle w:val="NeAdLogo"/>
            </w:pPr>
            <w:r w:rsidRPr="000F11E9">
              <w:rPr>
                <w:noProof/>
                <w:lang w:val="sl-SI" w:eastAsia="sl-SI"/>
              </w:rPr>
              <w:drawing>
                <wp:inline distT="0" distB="0" distL="0" distR="0" wp14:anchorId="76ADF151" wp14:editId="0A0F949C">
                  <wp:extent cx="1317689"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879" cy="932575"/>
                          </a:xfrm>
                          <a:prstGeom prst="rect">
                            <a:avLst/>
                          </a:prstGeom>
                          <a:noFill/>
                        </pic:spPr>
                      </pic:pic>
                    </a:graphicData>
                  </a:graphic>
                </wp:inline>
              </w:drawing>
            </w:r>
            <w:r>
              <w:t xml:space="preserve">                               </w:t>
            </w:r>
          </w:p>
        </w:tc>
      </w:tr>
      <w:tr w:rsidR="00580195" w:rsidRPr="00B521EC" w:rsidTr="624C5C71">
        <w:trPr>
          <w:trHeight w:hRule="exact" w:val="5761"/>
        </w:trPr>
        <w:tc>
          <w:tcPr>
            <w:tcW w:w="4248" w:type="dxa"/>
            <w:vMerge w:val="restart"/>
            <w:shd w:val="clear" w:color="auto" w:fill="C8C8C8"/>
          </w:tcPr>
          <w:p w:rsidR="00580195" w:rsidRPr="00B521EC" w:rsidRDefault="009902DF" w:rsidP="00591C1B">
            <w:pPr>
              <w:rPr>
                <w:rFonts w:ascii="Calibri" w:hAnsi="Calibri"/>
              </w:rPr>
            </w:pPr>
            <w:r w:rsidRPr="000F11E9">
              <w:rPr>
                <w:rFonts w:ascii="Calibri" w:hAnsi="Calibri"/>
                <w:noProof/>
                <w:lang w:val="sl-SI" w:eastAsia="sl-SI"/>
              </w:rPr>
              <w:drawing>
                <wp:inline distT="0" distB="0" distL="0" distR="0" wp14:anchorId="12C4D29B" wp14:editId="23D0450C">
                  <wp:extent cx="2638425" cy="3686175"/>
                  <wp:effectExtent l="0" t="0" r="0" b="0"/>
                  <wp:docPr id="2" name="Picture 1" descr="C:\Documents and Settings\roxanna\Local Settings\Temporary Internet Files\Content.IE5\039CR6V2\MC9004395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xanna\Local Settings\Temporary Internet Files\Content.IE5\039CR6V2\MC90043958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3686175"/>
                          </a:xfrm>
                          <a:prstGeom prst="rect">
                            <a:avLst/>
                          </a:prstGeom>
                          <a:noFill/>
                          <a:ln>
                            <a:noFill/>
                          </a:ln>
                        </pic:spPr>
                      </pic:pic>
                    </a:graphicData>
                  </a:graphic>
                </wp:inline>
              </w:drawing>
            </w:r>
          </w:p>
        </w:tc>
        <w:tc>
          <w:tcPr>
            <w:tcW w:w="7875" w:type="dxa"/>
            <w:shd w:val="clear" w:color="auto" w:fill="7D96BE"/>
            <w:vAlign w:val="bottom"/>
          </w:tcPr>
          <w:p w:rsidR="009902DF" w:rsidRPr="009A4FE2" w:rsidRDefault="008002C1" w:rsidP="004845DC">
            <w:pPr>
              <w:pStyle w:val="NeAdTitleHeading"/>
            </w:pPr>
            <w:r>
              <w:t xml:space="preserve">Guidelines </w:t>
            </w:r>
            <w:r w:rsidR="624C5C71" w:rsidRPr="009A4FE2">
              <w:t xml:space="preserve">on Risk Appetite </w:t>
            </w:r>
            <w:r>
              <w:t>Practices for Banks</w:t>
            </w:r>
          </w:p>
          <w:p w:rsidR="009902DF" w:rsidRPr="00591C1B" w:rsidRDefault="009902DF" w:rsidP="004845DC">
            <w:pPr>
              <w:pStyle w:val="NeAdTitleHeading"/>
            </w:pPr>
          </w:p>
        </w:tc>
      </w:tr>
      <w:tr w:rsidR="00580195" w:rsidRPr="00B521EC" w:rsidTr="624C5C71">
        <w:trPr>
          <w:trHeight w:hRule="exact" w:val="1785"/>
        </w:trPr>
        <w:tc>
          <w:tcPr>
            <w:tcW w:w="4248" w:type="dxa"/>
            <w:vMerge/>
            <w:shd w:val="clear" w:color="auto" w:fill="C8C8C8"/>
          </w:tcPr>
          <w:p w:rsidR="00580195" w:rsidRPr="00B521EC" w:rsidRDefault="00580195">
            <w:pPr>
              <w:rPr>
                <w:rFonts w:ascii="Calibri" w:hAnsi="Calibri" w:cs="Arial"/>
              </w:rPr>
            </w:pPr>
          </w:p>
        </w:tc>
        <w:tc>
          <w:tcPr>
            <w:tcW w:w="7875" w:type="dxa"/>
            <w:shd w:val="clear" w:color="auto" w:fill="00417D"/>
            <w:vAlign w:val="center"/>
          </w:tcPr>
          <w:p w:rsidR="00580195" w:rsidRDefault="00514E67" w:rsidP="00EA6521">
            <w:pPr>
              <w:pStyle w:val="NeAdTitle-date"/>
            </w:pPr>
            <w:r>
              <w:t xml:space="preserve">April, </w:t>
            </w:r>
            <w:r w:rsidR="624C5C71" w:rsidRPr="00B521EC">
              <w:t>201</w:t>
            </w:r>
            <w:r w:rsidR="008002C1">
              <w:t>8</w:t>
            </w:r>
          </w:p>
          <w:p w:rsidR="000A0251" w:rsidRPr="00B521EC" w:rsidRDefault="000A0251" w:rsidP="00EA6521">
            <w:pPr>
              <w:pStyle w:val="NeAdTitle-date"/>
            </w:pPr>
          </w:p>
        </w:tc>
      </w:tr>
      <w:tr w:rsidR="00580195" w:rsidRPr="00B521EC" w:rsidTr="008C41F8">
        <w:trPr>
          <w:trHeight w:val="4097"/>
        </w:trPr>
        <w:tc>
          <w:tcPr>
            <w:tcW w:w="4248" w:type="dxa"/>
            <w:vMerge/>
            <w:shd w:val="clear" w:color="auto" w:fill="C8C8C8"/>
            <w:vAlign w:val="bottom"/>
          </w:tcPr>
          <w:p w:rsidR="00580195" w:rsidRPr="00B521EC" w:rsidRDefault="00580195" w:rsidP="009A7679">
            <w:pPr>
              <w:rPr>
                <w:rFonts w:ascii="Calibri" w:hAnsi="Calibri" w:cs="Arial"/>
              </w:rPr>
            </w:pPr>
          </w:p>
        </w:tc>
        <w:tc>
          <w:tcPr>
            <w:tcW w:w="7875" w:type="dxa"/>
            <w:shd w:val="clear" w:color="auto" w:fill="E6E6E6"/>
            <w:vAlign w:val="center"/>
          </w:tcPr>
          <w:p w:rsidR="00503914" w:rsidRPr="008C41F8" w:rsidRDefault="00503914" w:rsidP="008C41F8"/>
        </w:tc>
      </w:tr>
    </w:tbl>
    <w:p w:rsidR="00DC631F" w:rsidRPr="00B521EC" w:rsidRDefault="00DC631F">
      <w:pPr>
        <w:rPr>
          <w:rFonts w:ascii="Calibri" w:hAnsi="Calibri"/>
        </w:rPr>
        <w:sectPr w:rsidR="00DC631F" w:rsidRPr="00B521EC" w:rsidSect="00DC631F">
          <w:pgSz w:w="11907" w:h="16840" w:code="9"/>
          <w:pgMar w:top="-161" w:right="0" w:bottom="0" w:left="0" w:header="0" w:footer="709" w:gutter="0"/>
          <w:cols w:space="708"/>
          <w:titlePg/>
          <w:docGrid w:linePitch="360"/>
        </w:sectPr>
      </w:pPr>
    </w:p>
    <w:p w:rsidR="00C62A57" w:rsidRPr="00B521EC" w:rsidRDefault="00EC1AD7" w:rsidP="00EC1AD7">
      <w:pPr>
        <w:pStyle w:val="NeAdH1-nonumber"/>
      </w:pPr>
      <w:r>
        <w:t>Contents</w:t>
      </w:r>
    </w:p>
    <w:bookmarkStart w:id="0" w:name="_Toc496105668"/>
    <w:p w:rsidR="00147E6E" w:rsidRDefault="00EC1AD7">
      <w:pPr>
        <w:pStyle w:val="Kazalovsebine1"/>
        <w:rPr>
          <w:rFonts w:eastAsiaTheme="minorEastAsia" w:cstheme="minorBidi"/>
          <w:noProof/>
          <w:szCs w:val="22"/>
          <w:lang w:eastAsia="en-GB"/>
        </w:rPr>
      </w:pPr>
      <w:r>
        <w:fldChar w:fldCharType="begin"/>
      </w:r>
      <w:r>
        <w:instrText xml:space="preserve"> TOC \h \z \t "NeAd H1,1,NeAd H2,2,NeAd H3,3" </w:instrText>
      </w:r>
      <w:r>
        <w:fldChar w:fldCharType="separate"/>
      </w:r>
      <w:hyperlink w:anchor="_Toc510622685" w:history="1">
        <w:r w:rsidR="00147E6E" w:rsidRPr="00091407">
          <w:rPr>
            <w:rStyle w:val="Hiperpovezava"/>
            <w:noProof/>
          </w:rPr>
          <w:t>I.</w:t>
        </w:r>
        <w:r w:rsidR="00147E6E">
          <w:rPr>
            <w:rFonts w:eastAsiaTheme="minorEastAsia" w:cstheme="minorBidi"/>
            <w:noProof/>
            <w:szCs w:val="22"/>
            <w:lang w:eastAsia="en-GB"/>
          </w:rPr>
          <w:tab/>
        </w:r>
        <w:r w:rsidR="00147E6E" w:rsidRPr="00091407">
          <w:rPr>
            <w:rStyle w:val="Hiperpovezava"/>
            <w:noProof/>
          </w:rPr>
          <w:t>Introduction</w:t>
        </w:r>
        <w:r w:rsidR="00147E6E">
          <w:rPr>
            <w:noProof/>
            <w:webHidden/>
          </w:rPr>
          <w:tab/>
        </w:r>
        <w:r w:rsidR="00147E6E">
          <w:rPr>
            <w:noProof/>
            <w:webHidden/>
          </w:rPr>
          <w:fldChar w:fldCharType="begin"/>
        </w:r>
        <w:r w:rsidR="00147E6E">
          <w:rPr>
            <w:noProof/>
            <w:webHidden/>
          </w:rPr>
          <w:instrText xml:space="preserve"> PAGEREF _Toc510622685 \h </w:instrText>
        </w:r>
        <w:r w:rsidR="00147E6E">
          <w:rPr>
            <w:noProof/>
            <w:webHidden/>
          </w:rPr>
        </w:r>
        <w:r w:rsidR="00147E6E">
          <w:rPr>
            <w:noProof/>
            <w:webHidden/>
          </w:rPr>
          <w:fldChar w:fldCharType="separate"/>
        </w:r>
        <w:r w:rsidR="00147E6E">
          <w:rPr>
            <w:noProof/>
            <w:webHidden/>
          </w:rPr>
          <w:t>4</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686" w:history="1">
        <w:r w:rsidR="00147E6E" w:rsidRPr="00091407">
          <w:rPr>
            <w:rStyle w:val="Hiperpovezava"/>
            <w:noProof/>
          </w:rPr>
          <w:t>A.</w:t>
        </w:r>
        <w:r w:rsidR="00147E6E">
          <w:rPr>
            <w:rFonts w:eastAsiaTheme="minorEastAsia" w:cstheme="minorBidi"/>
            <w:noProof/>
            <w:szCs w:val="22"/>
            <w:lang w:eastAsia="en-GB"/>
          </w:rPr>
          <w:tab/>
        </w:r>
        <w:r w:rsidR="00147E6E" w:rsidRPr="00091407">
          <w:rPr>
            <w:rStyle w:val="Hiperpovezava"/>
            <w:noProof/>
          </w:rPr>
          <w:t>Context of the Guidelines</w:t>
        </w:r>
        <w:r w:rsidR="00147E6E">
          <w:rPr>
            <w:noProof/>
            <w:webHidden/>
          </w:rPr>
          <w:tab/>
        </w:r>
        <w:r w:rsidR="00147E6E">
          <w:rPr>
            <w:noProof/>
            <w:webHidden/>
          </w:rPr>
          <w:fldChar w:fldCharType="begin"/>
        </w:r>
        <w:r w:rsidR="00147E6E">
          <w:rPr>
            <w:noProof/>
            <w:webHidden/>
          </w:rPr>
          <w:instrText xml:space="preserve"> PAGEREF _Toc510622686 \h </w:instrText>
        </w:r>
        <w:r w:rsidR="00147E6E">
          <w:rPr>
            <w:noProof/>
            <w:webHidden/>
          </w:rPr>
        </w:r>
        <w:r w:rsidR="00147E6E">
          <w:rPr>
            <w:noProof/>
            <w:webHidden/>
          </w:rPr>
          <w:fldChar w:fldCharType="separate"/>
        </w:r>
        <w:r w:rsidR="00147E6E">
          <w:rPr>
            <w:noProof/>
            <w:webHidden/>
          </w:rPr>
          <w:t>4</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687" w:history="1">
        <w:r w:rsidR="00147E6E" w:rsidRPr="00091407">
          <w:rPr>
            <w:rStyle w:val="Hiperpovezava"/>
            <w:noProof/>
          </w:rPr>
          <w:t>B.</w:t>
        </w:r>
        <w:r w:rsidR="00147E6E">
          <w:rPr>
            <w:rFonts w:eastAsiaTheme="minorEastAsia" w:cstheme="minorBidi"/>
            <w:noProof/>
            <w:szCs w:val="22"/>
            <w:lang w:eastAsia="en-GB"/>
          </w:rPr>
          <w:tab/>
        </w:r>
        <w:r w:rsidR="00147E6E" w:rsidRPr="00091407">
          <w:rPr>
            <w:rStyle w:val="Hiperpovezava"/>
            <w:noProof/>
          </w:rPr>
          <w:t>Objectives of the Guidelines and Key Principles for RAF Supervisory Assessment</w:t>
        </w:r>
        <w:r w:rsidR="00147E6E">
          <w:rPr>
            <w:noProof/>
            <w:webHidden/>
          </w:rPr>
          <w:tab/>
        </w:r>
        <w:r w:rsidR="00147E6E">
          <w:rPr>
            <w:noProof/>
            <w:webHidden/>
          </w:rPr>
          <w:fldChar w:fldCharType="begin"/>
        </w:r>
        <w:r w:rsidR="00147E6E">
          <w:rPr>
            <w:noProof/>
            <w:webHidden/>
          </w:rPr>
          <w:instrText xml:space="preserve"> PAGEREF _Toc510622687 \h </w:instrText>
        </w:r>
        <w:r w:rsidR="00147E6E">
          <w:rPr>
            <w:noProof/>
            <w:webHidden/>
          </w:rPr>
        </w:r>
        <w:r w:rsidR="00147E6E">
          <w:rPr>
            <w:noProof/>
            <w:webHidden/>
          </w:rPr>
          <w:fldChar w:fldCharType="separate"/>
        </w:r>
        <w:r w:rsidR="00147E6E">
          <w:rPr>
            <w:noProof/>
            <w:webHidden/>
          </w:rPr>
          <w:t>5</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688" w:history="1">
        <w:r w:rsidR="00147E6E" w:rsidRPr="00091407">
          <w:rPr>
            <w:rStyle w:val="Hiperpovezava"/>
            <w:noProof/>
          </w:rPr>
          <w:t>C.</w:t>
        </w:r>
        <w:r w:rsidR="00147E6E">
          <w:rPr>
            <w:rFonts w:eastAsiaTheme="minorEastAsia" w:cstheme="minorBidi"/>
            <w:noProof/>
            <w:szCs w:val="22"/>
            <w:lang w:eastAsia="en-GB"/>
          </w:rPr>
          <w:tab/>
        </w:r>
        <w:r w:rsidR="00147E6E" w:rsidRPr="00091407">
          <w:rPr>
            <w:rStyle w:val="Hiperpovezava"/>
            <w:noProof/>
          </w:rPr>
          <w:t>Definitions</w:t>
        </w:r>
        <w:r w:rsidR="00147E6E">
          <w:rPr>
            <w:noProof/>
            <w:webHidden/>
          </w:rPr>
          <w:tab/>
        </w:r>
        <w:r w:rsidR="00147E6E">
          <w:rPr>
            <w:noProof/>
            <w:webHidden/>
          </w:rPr>
          <w:fldChar w:fldCharType="begin"/>
        </w:r>
        <w:r w:rsidR="00147E6E">
          <w:rPr>
            <w:noProof/>
            <w:webHidden/>
          </w:rPr>
          <w:instrText xml:space="preserve"> PAGEREF _Toc510622688 \h </w:instrText>
        </w:r>
        <w:r w:rsidR="00147E6E">
          <w:rPr>
            <w:noProof/>
            <w:webHidden/>
          </w:rPr>
        </w:r>
        <w:r w:rsidR="00147E6E">
          <w:rPr>
            <w:noProof/>
            <w:webHidden/>
          </w:rPr>
          <w:fldChar w:fldCharType="separate"/>
        </w:r>
        <w:r w:rsidR="00147E6E">
          <w:rPr>
            <w:noProof/>
            <w:webHidden/>
          </w:rPr>
          <w:t>7</w:t>
        </w:r>
        <w:r w:rsidR="00147E6E">
          <w:rPr>
            <w:noProof/>
            <w:webHidden/>
          </w:rPr>
          <w:fldChar w:fldCharType="end"/>
        </w:r>
      </w:hyperlink>
    </w:p>
    <w:p w:rsidR="00147E6E" w:rsidRDefault="00291876">
      <w:pPr>
        <w:pStyle w:val="Kazalovsebine1"/>
        <w:rPr>
          <w:rFonts w:eastAsiaTheme="minorEastAsia" w:cstheme="minorBidi"/>
          <w:noProof/>
          <w:szCs w:val="22"/>
          <w:lang w:eastAsia="en-GB"/>
        </w:rPr>
      </w:pPr>
      <w:hyperlink w:anchor="_Toc510622689" w:history="1">
        <w:r w:rsidR="00147E6E" w:rsidRPr="00091407">
          <w:rPr>
            <w:rStyle w:val="Hiperpovezava"/>
            <w:noProof/>
          </w:rPr>
          <w:t>II.</w:t>
        </w:r>
        <w:r w:rsidR="00147E6E">
          <w:rPr>
            <w:rFonts w:eastAsiaTheme="minorEastAsia" w:cstheme="minorBidi"/>
            <w:noProof/>
            <w:szCs w:val="22"/>
            <w:lang w:eastAsia="en-GB"/>
          </w:rPr>
          <w:tab/>
        </w:r>
        <w:r w:rsidR="00147E6E" w:rsidRPr="00091407">
          <w:rPr>
            <w:rStyle w:val="Hiperpovezava"/>
            <w:noProof/>
          </w:rPr>
          <w:t>Guidance</w:t>
        </w:r>
        <w:r w:rsidR="00147E6E">
          <w:rPr>
            <w:noProof/>
            <w:webHidden/>
          </w:rPr>
          <w:tab/>
        </w:r>
        <w:r w:rsidR="00147E6E">
          <w:rPr>
            <w:noProof/>
            <w:webHidden/>
          </w:rPr>
          <w:fldChar w:fldCharType="begin"/>
        </w:r>
        <w:r w:rsidR="00147E6E">
          <w:rPr>
            <w:noProof/>
            <w:webHidden/>
          </w:rPr>
          <w:instrText xml:space="preserve"> PAGEREF _Toc510622689 \h </w:instrText>
        </w:r>
        <w:r w:rsidR="00147E6E">
          <w:rPr>
            <w:noProof/>
            <w:webHidden/>
          </w:rPr>
        </w:r>
        <w:r w:rsidR="00147E6E">
          <w:rPr>
            <w:noProof/>
            <w:webHidden/>
          </w:rPr>
          <w:fldChar w:fldCharType="separate"/>
        </w:r>
        <w:r w:rsidR="00147E6E">
          <w:rPr>
            <w:noProof/>
            <w:webHidden/>
          </w:rPr>
          <w:t>11</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690" w:history="1">
        <w:r w:rsidR="00147E6E" w:rsidRPr="00091407">
          <w:rPr>
            <w:rStyle w:val="Hiperpovezava"/>
            <w:noProof/>
          </w:rPr>
          <w:t>A.</w:t>
        </w:r>
        <w:r w:rsidR="00147E6E">
          <w:rPr>
            <w:rFonts w:eastAsiaTheme="minorEastAsia" w:cstheme="minorBidi"/>
            <w:noProof/>
            <w:szCs w:val="22"/>
            <w:lang w:eastAsia="en-GB"/>
          </w:rPr>
          <w:tab/>
        </w:r>
        <w:r w:rsidR="00147E6E" w:rsidRPr="00091407">
          <w:rPr>
            <w:rStyle w:val="Hiperpovezava"/>
            <w:noProof/>
          </w:rPr>
          <w:t>Governance and Process</w:t>
        </w:r>
        <w:r w:rsidR="00147E6E">
          <w:rPr>
            <w:noProof/>
            <w:webHidden/>
          </w:rPr>
          <w:tab/>
        </w:r>
        <w:r w:rsidR="00147E6E">
          <w:rPr>
            <w:noProof/>
            <w:webHidden/>
          </w:rPr>
          <w:fldChar w:fldCharType="begin"/>
        </w:r>
        <w:r w:rsidR="00147E6E">
          <w:rPr>
            <w:noProof/>
            <w:webHidden/>
          </w:rPr>
          <w:instrText xml:space="preserve"> PAGEREF _Toc510622690 \h </w:instrText>
        </w:r>
        <w:r w:rsidR="00147E6E">
          <w:rPr>
            <w:noProof/>
            <w:webHidden/>
          </w:rPr>
        </w:r>
        <w:r w:rsidR="00147E6E">
          <w:rPr>
            <w:noProof/>
            <w:webHidden/>
          </w:rPr>
          <w:fldChar w:fldCharType="separate"/>
        </w:r>
        <w:r w:rsidR="00147E6E">
          <w:rPr>
            <w:noProof/>
            <w:webHidden/>
          </w:rPr>
          <w:t>11</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691" w:history="1">
        <w:r w:rsidR="00147E6E" w:rsidRPr="00091407">
          <w:rPr>
            <w:rStyle w:val="Hiperpovezava"/>
            <w:noProof/>
          </w:rPr>
          <w:t>i.</w:t>
        </w:r>
        <w:r w:rsidR="00147E6E">
          <w:rPr>
            <w:rFonts w:eastAsiaTheme="minorEastAsia" w:cstheme="minorBidi"/>
            <w:noProof/>
            <w:szCs w:val="22"/>
            <w:lang w:eastAsia="en-GB"/>
          </w:rPr>
          <w:tab/>
        </w:r>
        <w:r w:rsidR="00147E6E" w:rsidRPr="00091407">
          <w:rPr>
            <w:rStyle w:val="Hiperpovezava"/>
            <w:noProof/>
          </w:rPr>
          <w:t>RAP, Risk Management Strategy, and Business Strategy</w:t>
        </w:r>
        <w:r w:rsidR="00147E6E">
          <w:rPr>
            <w:noProof/>
            <w:webHidden/>
          </w:rPr>
          <w:tab/>
        </w:r>
        <w:r w:rsidR="00147E6E">
          <w:rPr>
            <w:noProof/>
            <w:webHidden/>
          </w:rPr>
          <w:fldChar w:fldCharType="begin"/>
        </w:r>
        <w:r w:rsidR="00147E6E">
          <w:rPr>
            <w:noProof/>
            <w:webHidden/>
          </w:rPr>
          <w:instrText xml:space="preserve"> PAGEREF _Toc510622691 \h </w:instrText>
        </w:r>
        <w:r w:rsidR="00147E6E">
          <w:rPr>
            <w:noProof/>
            <w:webHidden/>
          </w:rPr>
        </w:r>
        <w:r w:rsidR="00147E6E">
          <w:rPr>
            <w:noProof/>
            <w:webHidden/>
          </w:rPr>
          <w:fldChar w:fldCharType="separate"/>
        </w:r>
        <w:r w:rsidR="00147E6E">
          <w:rPr>
            <w:noProof/>
            <w:webHidden/>
          </w:rPr>
          <w:t>11</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692" w:history="1">
        <w:r w:rsidR="00147E6E" w:rsidRPr="00091407">
          <w:rPr>
            <w:rStyle w:val="Hiperpovezava"/>
            <w:noProof/>
          </w:rPr>
          <w:t>ii.</w:t>
        </w:r>
        <w:r w:rsidR="00147E6E">
          <w:rPr>
            <w:rFonts w:eastAsiaTheme="minorEastAsia" w:cstheme="minorBidi"/>
            <w:noProof/>
            <w:szCs w:val="22"/>
            <w:lang w:eastAsia="en-GB"/>
          </w:rPr>
          <w:tab/>
        </w:r>
        <w:r w:rsidR="00147E6E" w:rsidRPr="00091407">
          <w:rPr>
            <w:rStyle w:val="Hiperpovezava"/>
            <w:noProof/>
          </w:rPr>
          <w:t>Preparing, Reviewing, and Reporting the RAS</w:t>
        </w:r>
        <w:r w:rsidR="00147E6E">
          <w:rPr>
            <w:noProof/>
            <w:webHidden/>
          </w:rPr>
          <w:tab/>
        </w:r>
        <w:r w:rsidR="00147E6E">
          <w:rPr>
            <w:noProof/>
            <w:webHidden/>
          </w:rPr>
          <w:fldChar w:fldCharType="begin"/>
        </w:r>
        <w:r w:rsidR="00147E6E">
          <w:rPr>
            <w:noProof/>
            <w:webHidden/>
          </w:rPr>
          <w:instrText xml:space="preserve"> PAGEREF _Toc510622692 \h </w:instrText>
        </w:r>
        <w:r w:rsidR="00147E6E">
          <w:rPr>
            <w:noProof/>
            <w:webHidden/>
          </w:rPr>
        </w:r>
        <w:r w:rsidR="00147E6E">
          <w:rPr>
            <w:noProof/>
            <w:webHidden/>
          </w:rPr>
          <w:fldChar w:fldCharType="separate"/>
        </w:r>
        <w:r w:rsidR="00147E6E">
          <w:rPr>
            <w:noProof/>
            <w:webHidden/>
          </w:rPr>
          <w:t>14</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693" w:history="1">
        <w:r w:rsidR="00147E6E" w:rsidRPr="00091407">
          <w:rPr>
            <w:rStyle w:val="Hiperpovezava"/>
            <w:noProof/>
          </w:rPr>
          <w:t>iii.</w:t>
        </w:r>
        <w:r w:rsidR="00147E6E">
          <w:rPr>
            <w:rFonts w:eastAsiaTheme="minorEastAsia" w:cstheme="minorBidi"/>
            <w:noProof/>
            <w:szCs w:val="22"/>
            <w:lang w:eastAsia="en-GB"/>
          </w:rPr>
          <w:tab/>
        </w:r>
        <w:r w:rsidR="00147E6E" w:rsidRPr="00091407">
          <w:rPr>
            <w:rStyle w:val="Hiperpovezava"/>
            <w:noProof/>
          </w:rPr>
          <w:t>RAFs in a Group Context</w:t>
        </w:r>
        <w:r w:rsidR="00147E6E">
          <w:rPr>
            <w:noProof/>
            <w:webHidden/>
          </w:rPr>
          <w:tab/>
        </w:r>
        <w:r w:rsidR="00147E6E">
          <w:rPr>
            <w:noProof/>
            <w:webHidden/>
          </w:rPr>
          <w:fldChar w:fldCharType="begin"/>
        </w:r>
        <w:r w:rsidR="00147E6E">
          <w:rPr>
            <w:noProof/>
            <w:webHidden/>
          </w:rPr>
          <w:instrText xml:space="preserve"> PAGEREF _Toc510622693 \h </w:instrText>
        </w:r>
        <w:r w:rsidR="00147E6E">
          <w:rPr>
            <w:noProof/>
            <w:webHidden/>
          </w:rPr>
        </w:r>
        <w:r w:rsidR="00147E6E">
          <w:rPr>
            <w:noProof/>
            <w:webHidden/>
          </w:rPr>
          <w:fldChar w:fldCharType="separate"/>
        </w:r>
        <w:r w:rsidR="00147E6E">
          <w:rPr>
            <w:noProof/>
            <w:webHidden/>
          </w:rPr>
          <w:t>16</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694" w:history="1">
        <w:r w:rsidR="00147E6E" w:rsidRPr="00091407">
          <w:rPr>
            <w:rStyle w:val="Hiperpovezava"/>
            <w:noProof/>
          </w:rPr>
          <w:t>iv.</w:t>
        </w:r>
        <w:r w:rsidR="00147E6E">
          <w:rPr>
            <w:rFonts w:eastAsiaTheme="minorEastAsia" w:cstheme="minorBidi"/>
            <w:noProof/>
            <w:szCs w:val="22"/>
            <w:lang w:eastAsia="en-GB"/>
          </w:rPr>
          <w:tab/>
        </w:r>
        <w:r w:rsidR="00147E6E" w:rsidRPr="00091407">
          <w:rPr>
            <w:rStyle w:val="Hiperpovezava"/>
            <w:noProof/>
          </w:rPr>
          <w:t>RAF Governance and Proportionality</w:t>
        </w:r>
        <w:r w:rsidR="00147E6E">
          <w:rPr>
            <w:noProof/>
            <w:webHidden/>
          </w:rPr>
          <w:tab/>
        </w:r>
        <w:r w:rsidR="00147E6E">
          <w:rPr>
            <w:noProof/>
            <w:webHidden/>
          </w:rPr>
          <w:fldChar w:fldCharType="begin"/>
        </w:r>
        <w:r w:rsidR="00147E6E">
          <w:rPr>
            <w:noProof/>
            <w:webHidden/>
          </w:rPr>
          <w:instrText xml:space="preserve"> PAGEREF _Toc510622694 \h </w:instrText>
        </w:r>
        <w:r w:rsidR="00147E6E">
          <w:rPr>
            <w:noProof/>
            <w:webHidden/>
          </w:rPr>
        </w:r>
        <w:r w:rsidR="00147E6E">
          <w:rPr>
            <w:noProof/>
            <w:webHidden/>
          </w:rPr>
          <w:fldChar w:fldCharType="separate"/>
        </w:r>
        <w:r w:rsidR="00147E6E">
          <w:rPr>
            <w:noProof/>
            <w:webHidden/>
          </w:rPr>
          <w:t>17</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695" w:history="1">
        <w:r w:rsidR="00147E6E" w:rsidRPr="00091407">
          <w:rPr>
            <w:rStyle w:val="Hiperpovezava"/>
            <w:noProof/>
          </w:rPr>
          <w:t>B.</w:t>
        </w:r>
        <w:r w:rsidR="00147E6E">
          <w:rPr>
            <w:rFonts w:eastAsiaTheme="minorEastAsia" w:cstheme="minorBidi"/>
            <w:noProof/>
            <w:szCs w:val="22"/>
            <w:lang w:eastAsia="en-GB"/>
          </w:rPr>
          <w:tab/>
        </w:r>
        <w:r w:rsidR="00147E6E" w:rsidRPr="00091407">
          <w:rPr>
            <w:rStyle w:val="Hiperpovezava"/>
            <w:noProof/>
          </w:rPr>
          <w:t>Content and Metrics</w:t>
        </w:r>
        <w:r w:rsidR="00147E6E">
          <w:rPr>
            <w:noProof/>
            <w:webHidden/>
          </w:rPr>
          <w:tab/>
        </w:r>
        <w:r w:rsidR="00147E6E">
          <w:rPr>
            <w:noProof/>
            <w:webHidden/>
          </w:rPr>
          <w:fldChar w:fldCharType="begin"/>
        </w:r>
        <w:r w:rsidR="00147E6E">
          <w:rPr>
            <w:noProof/>
            <w:webHidden/>
          </w:rPr>
          <w:instrText xml:space="preserve"> PAGEREF _Toc510622695 \h </w:instrText>
        </w:r>
        <w:r w:rsidR="00147E6E">
          <w:rPr>
            <w:noProof/>
            <w:webHidden/>
          </w:rPr>
        </w:r>
        <w:r w:rsidR="00147E6E">
          <w:rPr>
            <w:noProof/>
            <w:webHidden/>
          </w:rPr>
          <w:fldChar w:fldCharType="separate"/>
        </w:r>
        <w:r w:rsidR="00147E6E">
          <w:rPr>
            <w:noProof/>
            <w:webHidden/>
          </w:rPr>
          <w:t>19</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696" w:history="1">
        <w:r w:rsidR="00147E6E" w:rsidRPr="00091407">
          <w:rPr>
            <w:rStyle w:val="Hiperpovezava"/>
            <w:noProof/>
          </w:rPr>
          <w:t>i.</w:t>
        </w:r>
        <w:r w:rsidR="00147E6E">
          <w:rPr>
            <w:rFonts w:eastAsiaTheme="minorEastAsia" w:cstheme="minorBidi"/>
            <w:noProof/>
            <w:szCs w:val="22"/>
            <w:lang w:eastAsia="en-GB"/>
          </w:rPr>
          <w:tab/>
        </w:r>
        <w:r w:rsidR="00147E6E" w:rsidRPr="00091407">
          <w:rPr>
            <w:rStyle w:val="Hiperpovezava"/>
            <w:noProof/>
          </w:rPr>
          <w:t>Relationship of the RAF with the ICAAP/ILAAP and the Recovery Plan</w:t>
        </w:r>
        <w:r w:rsidR="00147E6E">
          <w:rPr>
            <w:noProof/>
            <w:webHidden/>
          </w:rPr>
          <w:tab/>
        </w:r>
        <w:r w:rsidR="00147E6E">
          <w:rPr>
            <w:noProof/>
            <w:webHidden/>
          </w:rPr>
          <w:fldChar w:fldCharType="begin"/>
        </w:r>
        <w:r w:rsidR="00147E6E">
          <w:rPr>
            <w:noProof/>
            <w:webHidden/>
          </w:rPr>
          <w:instrText xml:space="preserve"> PAGEREF _Toc510622696 \h </w:instrText>
        </w:r>
        <w:r w:rsidR="00147E6E">
          <w:rPr>
            <w:noProof/>
            <w:webHidden/>
          </w:rPr>
        </w:r>
        <w:r w:rsidR="00147E6E">
          <w:rPr>
            <w:noProof/>
            <w:webHidden/>
          </w:rPr>
          <w:fldChar w:fldCharType="separate"/>
        </w:r>
        <w:r w:rsidR="00147E6E">
          <w:rPr>
            <w:noProof/>
            <w:webHidden/>
          </w:rPr>
          <w:t>19</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697" w:history="1">
        <w:r w:rsidR="00147E6E" w:rsidRPr="00091407">
          <w:rPr>
            <w:rStyle w:val="Hiperpovezava"/>
            <w:noProof/>
          </w:rPr>
          <w:t>ii.</w:t>
        </w:r>
        <w:r w:rsidR="00147E6E">
          <w:rPr>
            <w:rFonts w:eastAsiaTheme="minorEastAsia" w:cstheme="minorBidi"/>
            <w:noProof/>
            <w:szCs w:val="22"/>
            <w:lang w:eastAsia="en-GB"/>
          </w:rPr>
          <w:tab/>
        </w:r>
        <w:r w:rsidR="00147E6E" w:rsidRPr="00091407">
          <w:rPr>
            <w:rStyle w:val="Hiperpovezava"/>
            <w:noProof/>
          </w:rPr>
          <w:t>Elements of the RAF</w:t>
        </w:r>
        <w:r w:rsidR="00147E6E">
          <w:rPr>
            <w:noProof/>
            <w:webHidden/>
          </w:rPr>
          <w:tab/>
        </w:r>
        <w:r w:rsidR="00147E6E">
          <w:rPr>
            <w:noProof/>
            <w:webHidden/>
          </w:rPr>
          <w:fldChar w:fldCharType="begin"/>
        </w:r>
        <w:r w:rsidR="00147E6E">
          <w:rPr>
            <w:noProof/>
            <w:webHidden/>
          </w:rPr>
          <w:instrText xml:space="preserve"> PAGEREF _Toc510622697 \h </w:instrText>
        </w:r>
        <w:r w:rsidR="00147E6E">
          <w:rPr>
            <w:noProof/>
            <w:webHidden/>
          </w:rPr>
        </w:r>
        <w:r w:rsidR="00147E6E">
          <w:rPr>
            <w:noProof/>
            <w:webHidden/>
          </w:rPr>
          <w:fldChar w:fldCharType="separate"/>
        </w:r>
        <w:r w:rsidR="00147E6E">
          <w:rPr>
            <w:noProof/>
            <w:webHidden/>
          </w:rPr>
          <w:t>20</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698" w:history="1">
        <w:r w:rsidR="00147E6E" w:rsidRPr="00091407">
          <w:rPr>
            <w:rStyle w:val="Hiperpovezava"/>
            <w:noProof/>
          </w:rPr>
          <w:t>iii.</w:t>
        </w:r>
        <w:r w:rsidR="00147E6E">
          <w:rPr>
            <w:rFonts w:eastAsiaTheme="minorEastAsia" w:cstheme="minorBidi"/>
            <w:noProof/>
            <w:szCs w:val="22"/>
            <w:lang w:eastAsia="en-GB"/>
          </w:rPr>
          <w:tab/>
        </w:r>
        <w:r w:rsidR="00147E6E" w:rsidRPr="00091407">
          <w:rPr>
            <w:rStyle w:val="Hiperpovezava"/>
            <w:noProof/>
          </w:rPr>
          <w:t>Risk Categories and Comprehensiveness of the RAF</w:t>
        </w:r>
        <w:r w:rsidR="00147E6E">
          <w:rPr>
            <w:noProof/>
            <w:webHidden/>
          </w:rPr>
          <w:tab/>
        </w:r>
        <w:r w:rsidR="00147E6E">
          <w:rPr>
            <w:noProof/>
            <w:webHidden/>
          </w:rPr>
          <w:fldChar w:fldCharType="begin"/>
        </w:r>
        <w:r w:rsidR="00147E6E">
          <w:rPr>
            <w:noProof/>
            <w:webHidden/>
          </w:rPr>
          <w:instrText xml:space="preserve"> PAGEREF _Toc510622698 \h </w:instrText>
        </w:r>
        <w:r w:rsidR="00147E6E">
          <w:rPr>
            <w:noProof/>
            <w:webHidden/>
          </w:rPr>
        </w:r>
        <w:r w:rsidR="00147E6E">
          <w:rPr>
            <w:noProof/>
            <w:webHidden/>
          </w:rPr>
          <w:fldChar w:fldCharType="separate"/>
        </w:r>
        <w:r w:rsidR="00147E6E">
          <w:rPr>
            <w:noProof/>
            <w:webHidden/>
          </w:rPr>
          <w:t>24</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699" w:history="1">
        <w:r w:rsidR="00147E6E" w:rsidRPr="00091407">
          <w:rPr>
            <w:rStyle w:val="Hiperpovezava"/>
            <w:noProof/>
          </w:rPr>
          <w:t>iv.</w:t>
        </w:r>
        <w:r w:rsidR="00147E6E">
          <w:rPr>
            <w:rFonts w:eastAsiaTheme="minorEastAsia" w:cstheme="minorBidi"/>
            <w:noProof/>
            <w:szCs w:val="22"/>
            <w:lang w:eastAsia="en-GB"/>
          </w:rPr>
          <w:tab/>
        </w:r>
        <w:r w:rsidR="00147E6E" w:rsidRPr="00091407">
          <w:rPr>
            <w:rStyle w:val="Hiperpovezava"/>
            <w:noProof/>
          </w:rPr>
          <w:t>RAP Metrics and Proportionality</w:t>
        </w:r>
        <w:r w:rsidR="00147E6E">
          <w:rPr>
            <w:noProof/>
            <w:webHidden/>
          </w:rPr>
          <w:tab/>
        </w:r>
        <w:r w:rsidR="00147E6E">
          <w:rPr>
            <w:noProof/>
            <w:webHidden/>
          </w:rPr>
          <w:fldChar w:fldCharType="begin"/>
        </w:r>
        <w:r w:rsidR="00147E6E">
          <w:rPr>
            <w:noProof/>
            <w:webHidden/>
          </w:rPr>
          <w:instrText xml:space="preserve"> PAGEREF _Toc510622699 \h </w:instrText>
        </w:r>
        <w:r w:rsidR="00147E6E">
          <w:rPr>
            <w:noProof/>
            <w:webHidden/>
          </w:rPr>
        </w:r>
        <w:r w:rsidR="00147E6E">
          <w:rPr>
            <w:noProof/>
            <w:webHidden/>
          </w:rPr>
          <w:fldChar w:fldCharType="separate"/>
        </w:r>
        <w:r w:rsidR="00147E6E">
          <w:rPr>
            <w:noProof/>
            <w:webHidden/>
          </w:rPr>
          <w:t>26</w:t>
        </w:r>
        <w:r w:rsidR="00147E6E">
          <w:rPr>
            <w:noProof/>
            <w:webHidden/>
          </w:rPr>
          <w:fldChar w:fldCharType="end"/>
        </w:r>
      </w:hyperlink>
    </w:p>
    <w:p w:rsidR="00147E6E" w:rsidRDefault="00291876">
      <w:pPr>
        <w:pStyle w:val="Kazalovsebine2"/>
        <w:rPr>
          <w:rFonts w:eastAsiaTheme="minorEastAsia" w:cstheme="minorBidi"/>
          <w:noProof/>
          <w:szCs w:val="22"/>
          <w:lang w:eastAsia="en-GB"/>
        </w:rPr>
      </w:pPr>
      <w:hyperlink w:anchor="_Toc510622700" w:history="1">
        <w:r w:rsidR="00147E6E" w:rsidRPr="00091407">
          <w:rPr>
            <w:rStyle w:val="Hiperpovezava"/>
            <w:noProof/>
          </w:rPr>
          <w:t>C.</w:t>
        </w:r>
        <w:r w:rsidR="00147E6E">
          <w:rPr>
            <w:rFonts w:eastAsiaTheme="minorEastAsia" w:cstheme="minorBidi"/>
            <w:noProof/>
            <w:szCs w:val="22"/>
            <w:lang w:eastAsia="en-GB"/>
          </w:rPr>
          <w:tab/>
        </w:r>
        <w:r w:rsidR="00147E6E" w:rsidRPr="00091407">
          <w:rPr>
            <w:rStyle w:val="Hiperpovezava"/>
            <w:noProof/>
          </w:rPr>
          <w:t>Embedding and Cascading</w:t>
        </w:r>
        <w:r w:rsidR="00147E6E">
          <w:rPr>
            <w:noProof/>
            <w:webHidden/>
          </w:rPr>
          <w:tab/>
        </w:r>
        <w:r w:rsidR="00147E6E">
          <w:rPr>
            <w:noProof/>
            <w:webHidden/>
          </w:rPr>
          <w:fldChar w:fldCharType="begin"/>
        </w:r>
        <w:r w:rsidR="00147E6E">
          <w:rPr>
            <w:noProof/>
            <w:webHidden/>
          </w:rPr>
          <w:instrText xml:space="preserve"> PAGEREF _Toc510622700 \h </w:instrText>
        </w:r>
        <w:r w:rsidR="00147E6E">
          <w:rPr>
            <w:noProof/>
            <w:webHidden/>
          </w:rPr>
        </w:r>
        <w:r w:rsidR="00147E6E">
          <w:rPr>
            <w:noProof/>
            <w:webHidden/>
          </w:rPr>
          <w:fldChar w:fldCharType="separate"/>
        </w:r>
        <w:r w:rsidR="00147E6E">
          <w:rPr>
            <w:noProof/>
            <w:webHidden/>
          </w:rPr>
          <w:t>27</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701" w:history="1">
        <w:r w:rsidR="00147E6E" w:rsidRPr="00091407">
          <w:rPr>
            <w:rStyle w:val="Hiperpovezava"/>
            <w:noProof/>
          </w:rPr>
          <w:t>i.</w:t>
        </w:r>
        <w:r w:rsidR="00147E6E">
          <w:rPr>
            <w:rFonts w:eastAsiaTheme="minorEastAsia" w:cstheme="minorBidi"/>
            <w:noProof/>
            <w:szCs w:val="22"/>
            <w:lang w:eastAsia="en-GB"/>
          </w:rPr>
          <w:tab/>
        </w:r>
        <w:r w:rsidR="00147E6E" w:rsidRPr="00091407">
          <w:rPr>
            <w:rStyle w:val="Hiperpovezava"/>
            <w:noProof/>
          </w:rPr>
          <w:t>Cascading and Escalation</w:t>
        </w:r>
        <w:r w:rsidR="00147E6E">
          <w:rPr>
            <w:noProof/>
            <w:webHidden/>
          </w:rPr>
          <w:tab/>
        </w:r>
        <w:r w:rsidR="00147E6E">
          <w:rPr>
            <w:noProof/>
            <w:webHidden/>
          </w:rPr>
          <w:fldChar w:fldCharType="begin"/>
        </w:r>
        <w:r w:rsidR="00147E6E">
          <w:rPr>
            <w:noProof/>
            <w:webHidden/>
          </w:rPr>
          <w:instrText xml:space="preserve"> PAGEREF _Toc510622701 \h </w:instrText>
        </w:r>
        <w:r w:rsidR="00147E6E">
          <w:rPr>
            <w:noProof/>
            <w:webHidden/>
          </w:rPr>
        </w:r>
        <w:r w:rsidR="00147E6E">
          <w:rPr>
            <w:noProof/>
            <w:webHidden/>
          </w:rPr>
          <w:fldChar w:fldCharType="separate"/>
        </w:r>
        <w:r w:rsidR="00147E6E">
          <w:rPr>
            <w:noProof/>
            <w:webHidden/>
          </w:rPr>
          <w:t>27</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702" w:history="1">
        <w:r w:rsidR="00147E6E" w:rsidRPr="00091407">
          <w:rPr>
            <w:rStyle w:val="Hiperpovezava"/>
            <w:noProof/>
          </w:rPr>
          <w:t>ii.</w:t>
        </w:r>
        <w:r w:rsidR="00147E6E">
          <w:rPr>
            <w:rFonts w:eastAsiaTheme="minorEastAsia" w:cstheme="minorBidi"/>
            <w:noProof/>
            <w:szCs w:val="22"/>
            <w:lang w:eastAsia="en-GB"/>
          </w:rPr>
          <w:tab/>
        </w:r>
        <w:r w:rsidR="00147E6E" w:rsidRPr="00091407">
          <w:rPr>
            <w:rStyle w:val="Hiperpovezava"/>
            <w:noProof/>
          </w:rPr>
          <w:t>Embedding: Communication, Training, and Risk Culture</w:t>
        </w:r>
        <w:r w:rsidR="00147E6E">
          <w:rPr>
            <w:noProof/>
            <w:webHidden/>
          </w:rPr>
          <w:tab/>
        </w:r>
        <w:r w:rsidR="00147E6E">
          <w:rPr>
            <w:noProof/>
            <w:webHidden/>
          </w:rPr>
          <w:fldChar w:fldCharType="begin"/>
        </w:r>
        <w:r w:rsidR="00147E6E">
          <w:rPr>
            <w:noProof/>
            <w:webHidden/>
          </w:rPr>
          <w:instrText xml:space="preserve"> PAGEREF _Toc510622702 \h </w:instrText>
        </w:r>
        <w:r w:rsidR="00147E6E">
          <w:rPr>
            <w:noProof/>
            <w:webHidden/>
          </w:rPr>
        </w:r>
        <w:r w:rsidR="00147E6E">
          <w:rPr>
            <w:noProof/>
            <w:webHidden/>
          </w:rPr>
          <w:fldChar w:fldCharType="separate"/>
        </w:r>
        <w:r w:rsidR="00147E6E">
          <w:rPr>
            <w:noProof/>
            <w:webHidden/>
          </w:rPr>
          <w:t>30</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703" w:history="1">
        <w:r w:rsidR="00147E6E" w:rsidRPr="00091407">
          <w:rPr>
            <w:rStyle w:val="Hiperpovezava"/>
            <w:noProof/>
          </w:rPr>
          <w:t>iii.</w:t>
        </w:r>
        <w:r w:rsidR="00147E6E">
          <w:rPr>
            <w:rFonts w:eastAsiaTheme="minorEastAsia" w:cstheme="minorBidi"/>
            <w:noProof/>
            <w:szCs w:val="22"/>
            <w:lang w:eastAsia="en-GB"/>
          </w:rPr>
          <w:tab/>
        </w:r>
        <w:r w:rsidR="00147E6E" w:rsidRPr="00091407">
          <w:rPr>
            <w:rStyle w:val="Hiperpovezava"/>
            <w:noProof/>
          </w:rPr>
          <w:t>Embedding: Remuneration</w:t>
        </w:r>
        <w:r w:rsidR="00147E6E">
          <w:rPr>
            <w:noProof/>
            <w:webHidden/>
          </w:rPr>
          <w:tab/>
        </w:r>
        <w:r w:rsidR="00147E6E">
          <w:rPr>
            <w:noProof/>
            <w:webHidden/>
          </w:rPr>
          <w:fldChar w:fldCharType="begin"/>
        </w:r>
        <w:r w:rsidR="00147E6E">
          <w:rPr>
            <w:noProof/>
            <w:webHidden/>
          </w:rPr>
          <w:instrText xml:space="preserve"> PAGEREF _Toc510622703 \h </w:instrText>
        </w:r>
        <w:r w:rsidR="00147E6E">
          <w:rPr>
            <w:noProof/>
            <w:webHidden/>
          </w:rPr>
        </w:r>
        <w:r w:rsidR="00147E6E">
          <w:rPr>
            <w:noProof/>
            <w:webHidden/>
          </w:rPr>
          <w:fldChar w:fldCharType="separate"/>
        </w:r>
        <w:r w:rsidR="00147E6E">
          <w:rPr>
            <w:noProof/>
            <w:webHidden/>
          </w:rPr>
          <w:t>32</w:t>
        </w:r>
        <w:r w:rsidR="00147E6E">
          <w:rPr>
            <w:noProof/>
            <w:webHidden/>
          </w:rPr>
          <w:fldChar w:fldCharType="end"/>
        </w:r>
      </w:hyperlink>
    </w:p>
    <w:p w:rsidR="00147E6E" w:rsidRDefault="00291876">
      <w:pPr>
        <w:pStyle w:val="Kazalovsebine3"/>
        <w:tabs>
          <w:tab w:val="left" w:pos="1100"/>
          <w:tab w:val="right" w:leader="dot" w:pos="8495"/>
        </w:tabs>
        <w:rPr>
          <w:rFonts w:eastAsiaTheme="minorEastAsia" w:cstheme="minorBidi"/>
          <w:noProof/>
          <w:szCs w:val="22"/>
          <w:lang w:eastAsia="en-GB"/>
        </w:rPr>
      </w:pPr>
      <w:hyperlink w:anchor="_Toc510622704" w:history="1">
        <w:r w:rsidR="00147E6E" w:rsidRPr="00091407">
          <w:rPr>
            <w:rStyle w:val="Hiperpovezava"/>
            <w:noProof/>
          </w:rPr>
          <w:t>iv.</w:t>
        </w:r>
        <w:r w:rsidR="00147E6E">
          <w:rPr>
            <w:rFonts w:eastAsiaTheme="minorEastAsia" w:cstheme="minorBidi"/>
            <w:noProof/>
            <w:szCs w:val="22"/>
            <w:lang w:eastAsia="en-GB"/>
          </w:rPr>
          <w:tab/>
        </w:r>
        <w:r w:rsidR="00147E6E" w:rsidRPr="00091407">
          <w:rPr>
            <w:rStyle w:val="Hiperpovezava"/>
            <w:noProof/>
          </w:rPr>
          <w:t>External Communication</w:t>
        </w:r>
        <w:r w:rsidR="00147E6E">
          <w:rPr>
            <w:noProof/>
            <w:webHidden/>
          </w:rPr>
          <w:tab/>
        </w:r>
        <w:r w:rsidR="00147E6E">
          <w:rPr>
            <w:noProof/>
            <w:webHidden/>
          </w:rPr>
          <w:fldChar w:fldCharType="begin"/>
        </w:r>
        <w:r w:rsidR="00147E6E">
          <w:rPr>
            <w:noProof/>
            <w:webHidden/>
          </w:rPr>
          <w:instrText xml:space="preserve"> PAGEREF _Toc510622704 \h </w:instrText>
        </w:r>
        <w:r w:rsidR="00147E6E">
          <w:rPr>
            <w:noProof/>
            <w:webHidden/>
          </w:rPr>
        </w:r>
        <w:r w:rsidR="00147E6E">
          <w:rPr>
            <w:noProof/>
            <w:webHidden/>
          </w:rPr>
          <w:fldChar w:fldCharType="separate"/>
        </w:r>
        <w:r w:rsidR="00147E6E">
          <w:rPr>
            <w:noProof/>
            <w:webHidden/>
          </w:rPr>
          <w:t>32</w:t>
        </w:r>
        <w:r w:rsidR="00147E6E">
          <w:rPr>
            <w:noProof/>
            <w:webHidden/>
          </w:rPr>
          <w:fldChar w:fldCharType="end"/>
        </w:r>
      </w:hyperlink>
    </w:p>
    <w:p w:rsidR="00147E6E" w:rsidRDefault="00291876">
      <w:pPr>
        <w:pStyle w:val="Kazalovsebine3"/>
        <w:tabs>
          <w:tab w:val="left" w:pos="880"/>
          <w:tab w:val="right" w:leader="dot" w:pos="8495"/>
        </w:tabs>
        <w:rPr>
          <w:rFonts w:eastAsiaTheme="minorEastAsia" w:cstheme="minorBidi"/>
          <w:noProof/>
          <w:szCs w:val="22"/>
          <w:lang w:eastAsia="en-GB"/>
        </w:rPr>
      </w:pPr>
      <w:hyperlink w:anchor="_Toc510622705" w:history="1">
        <w:r w:rsidR="00147E6E" w:rsidRPr="00091407">
          <w:rPr>
            <w:rStyle w:val="Hiperpovezava"/>
            <w:noProof/>
          </w:rPr>
          <w:t>v.</w:t>
        </w:r>
        <w:r w:rsidR="00147E6E">
          <w:rPr>
            <w:rFonts w:eastAsiaTheme="minorEastAsia" w:cstheme="minorBidi"/>
            <w:noProof/>
            <w:szCs w:val="22"/>
            <w:lang w:eastAsia="en-GB"/>
          </w:rPr>
          <w:tab/>
        </w:r>
        <w:r w:rsidR="00147E6E" w:rsidRPr="00091407">
          <w:rPr>
            <w:rStyle w:val="Hiperpovezava"/>
            <w:noProof/>
          </w:rPr>
          <w:t>Embedding of the RAF and Proportionality</w:t>
        </w:r>
        <w:r w:rsidR="00147E6E">
          <w:rPr>
            <w:noProof/>
            <w:webHidden/>
          </w:rPr>
          <w:tab/>
        </w:r>
        <w:r w:rsidR="00147E6E">
          <w:rPr>
            <w:noProof/>
            <w:webHidden/>
          </w:rPr>
          <w:fldChar w:fldCharType="begin"/>
        </w:r>
        <w:r w:rsidR="00147E6E">
          <w:rPr>
            <w:noProof/>
            <w:webHidden/>
          </w:rPr>
          <w:instrText xml:space="preserve"> PAGEREF _Toc510622705 \h </w:instrText>
        </w:r>
        <w:r w:rsidR="00147E6E">
          <w:rPr>
            <w:noProof/>
            <w:webHidden/>
          </w:rPr>
        </w:r>
        <w:r w:rsidR="00147E6E">
          <w:rPr>
            <w:noProof/>
            <w:webHidden/>
          </w:rPr>
          <w:fldChar w:fldCharType="separate"/>
        </w:r>
        <w:r w:rsidR="00147E6E">
          <w:rPr>
            <w:noProof/>
            <w:webHidden/>
          </w:rPr>
          <w:t>34</w:t>
        </w:r>
        <w:r w:rsidR="00147E6E">
          <w:rPr>
            <w:noProof/>
            <w:webHidden/>
          </w:rPr>
          <w:fldChar w:fldCharType="end"/>
        </w:r>
      </w:hyperlink>
    </w:p>
    <w:p w:rsidR="00833E8D" w:rsidRDefault="00EC1AD7" w:rsidP="00833E8D">
      <w:pPr>
        <w:pStyle w:val="NeAdtabletext"/>
        <w:rPr>
          <w:b w:val="0"/>
        </w:rPr>
      </w:pPr>
      <w:r>
        <w:fldChar w:fldCharType="end"/>
      </w:r>
      <w:r w:rsidR="00833E8D">
        <w:br w:type="page"/>
      </w:r>
    </w:p>
    <w:p w:rsidR="00AB043D" w:rsidRPr="00227B2F" w:rsidRDefault="00AB043D" w:rsidP="00C87F00">
      <w:pPr>
        <w:pStyle w:val="NeAdH1-nonumber"/>
      </w:pPr>
      <w:r w:rsidRPr="00227B2F">
        <w:t xml:space="preserve">List of </w:t>
      </w:r>
      <w:r w:rsidR="00894CCA">
        <w:t>Acronyms</w:t>
      </w:r>
    </w:p>
    <w:p w:rsidR="00AB043D" w:rsidRDefault="00AB043D" w:rsidP="00227B2F">
      <w:pPr>
        <w:pStyle w:val="NeAdtabletext"/>
      </w:pPr>
    </w:p>
    <w:p w:rsidR="00F024EC" w:rsidRDefault="00F024EC" w:rsidP="002A1EE0">
      <w:pPr>
        <w:pStyle w:val="NeAdtabletext"/>
        <w:spacing w:before="120" w:after="120"/>
        <w:rPr>
          <w:b w:val="0"/>
          <w:sz w:val="22"/>
          <w:u w:val="none"/>
        </w:rPr>
      </w:pPr>
      <w:r w:rsidRPr="00A365AD">
        <w:rPr>
          <w:b w:val="0"/>
          <w:sz w:val="22"/>
          <w:u w:val="none"/>
        </w:rPr>
        <w:t>Bank of Slovenia (BoS)</w:t>
      </w:r>
    </w:p>
    <w:p w:rsidR="00DE4868" w:rsidRDefault="00DE4868" w:rsidP="002A1EE0">
      <w:pPr>
        <w:pStyle w:val="NeAdtabletext"/>
        <w:spacing w:before="120" w:after="120"/>
        <w:rPr>
          <w:b w:val="0"/>
          <w:sz w:val="22"/>
          <w:u w:val="none"/>
        </w:rPr>
      </w:pPr>
      <w:r w:rsidRPr="00DE4868">
        <w:rPr>
          <w:b w:val="0"/>
          <w:sz w:val="22"/>
          <w:u w:val="none"/>
        </w:rPr>
        <w:t>Bank of Slovenia Regulation on Internal Governance Arrangements, the Management Body and the Internal Capital Adequacy Assessment Process for Banks and Savings Banks (BoS Regulation on Internal Governance Arrangements)</w:t>
      </w:r>
    </w:p>
    <w:p w:rsidR="009B376A" w:rsidRPr="00A365AD" w:rsidRDefault="009B376A" w:rsidP="002A1EE0">
      <w:pPr>
        <w:pStyle w:val="NeAdtabletext"/>
        <w:spacing w:before="120" w:after="120"/>
        <w:rPr>
          <w:b w:val="0"/>
          <w:sz w:val="22"/>
          <w:u w:val="none"/>
        </w:rPr>
      </w:pPr>
      <w:r>
        <w:rPr>
          <w:b w:val="0"/>
          <w:sz w:val="22"/>
          <w:u w:val="none"/>
        </w:rPr>
        <w:t>Chief Risk Officer (CRO)</w:t>
      </w:r>
    </w:p>
    <w:p w:rsidR="00796011" w:rsidRPr="00EE0258" w:rsidRDefault="00796011" w:rsidP="002A1EE0">
      <w:pPr>
        <w:pStyle w:val="NeAdtabletext"/>
        <w:spacing w:before="120" w:after="120"/>
        <w:rPr>
          <w:b w:val="0"/>
          <w:sz w:val="22"/>
          <w:u w:val="none"/>
        </w:rPr>
      </w:pPr>
      <w:r w:rsidRPr="00EE0258">
        <w:rPr>
          <w:b w:val="0"/>
          <w:sz w:val="22"/>
          <w:u w:val="none"/>
        </w:rPr>
        <w:t>European Banking Authority (EBA)</w:t>
      </w:r>
    </w:p>
    <w:p w:rsidR="00796011" w:rsidRPr="00EE0258" w:rsidRDefault="00AF65D9" w:rsidP="002A1EE0">
      <w:pPr>
        <w:pStyle w:val="NeAdtabletext"/>
        <w:spacing w:before="120" w:after="120"/>
        <w:rPr>
          <w:b w:val="0"/>
          <w:sz w:val="22"/>
          <w:u w:val="none"/>
        </w:rPr>
      </w:pPr>
      <w:r w:rsidRPr="00EE0258">
        <w:rPr>
          <w:b w:val="0"/>
          <w:sz w:val="22"/>
          <w:u w:val="none"/>
        </w:rPr>
        <w:t>EBA</w:t>
      </w:r>
      <w:r w:rsidR="00796011" w:rsidRPr="00EE0258">
        <w:rPr>
          <w:b w:val="0"/>
          <w:sz w:val="22"/>
          <w:u w:val="none"/>
        </w:rPr>
        <w:t xml:space="preserve"> Internal Governance Guidelines (EBA Governance Guidelines)</w:t>
      </w:r>
    </w:p>
    <w:p w:rsidR="00CD5886" w:rsidRPr="00EE0258" w:rsidRDefault="00CD5886" w:rsidP="002A1EE0">
      <w:pPr>
        <w:pStyle w:val="NeAdtabletext"/>
        <w:spacing w:before="120" w:after="120"/>
        <w:rPr>
          <w:b w:val="0"/>
          <w:sz w:val="22"/>
          <w:u w:val="none"/>
        </w:rPr>
      </w:pPr>
      <w:r w:rsidRPr="00EE0258">
        <w:rPr>
          <w:b w:val="0"/>
          <w:sz w:val="22"/>
          <w:u w:val="none"/>
        </w:rPr>
        <w:t>European Bank for Reconstruction and Development (EBRD)</w:t>
      </w:r>
    </w:p>
    <w:p w:rsidR="004B6966" w:rsidRPr="00EE0258" w:rsidRDefault="004B6966" w:rsidP="002A1EE0">
      <w:pPr>
        <w:pStyle w:val="NeAdtabletext"/>
        <w:spacing w:before="120" w:after="120"/>
        <w:rPr>
          <w:b w:val="0"/>
          <w:sz w:val="22"/>
          <w:u w:val="none"/>
        </w:rPr>
      </w:pPr>
      <w:r w:rsidRPr="00EE0258">
        <w:rPr>
          <w:b w:val="0"/>
          <w:sz w:val="22"/>
          <w:u w:val="none"/>
        </w:rPr>
        <w:t>European Central Bank (ECB)</w:t>
      </w:r>
    </w:p>
    <w:p w:rsidR="00CD5886" w:rsidRDefault="00CD5886" w:rsidP="002A1EE0">
      <w:pPr>
        <w:pStyle w:val="NeAdtabletext"/>
        <w:spacing w:before="120" w:after="120"/>
        <w:rPr>
          <w:b w:val="0"/>
          <w:sz w:val="22"/>
          <w:u w:val="none"/>
        </w:rPr>
      </w:pPr>
      <w:r w:rsidRPr="00EE0258">
        <w:rPr>
          <w:b w:val="0"/>
          <w:sz w:val="22"/>
          <w:u w:val="none"/>
        </w:rPr>
        <w:t>European Commission (EC)</w:t>
      </w:r>
    </w:p>
    <w:p w:rsidR="00A81292" w:rsidRDefault="00D71B97" w:rsidP="002A1EE0">
      <w:pPr>
        <w:pStyle w:val="NeAdtabletext"/>
        <w:spacing w:before="120" w:after="120"/>
        <w:rPr>
          <w:b w:val="0"/>
          <w:sz w:val="22"/>
          <w:u w:val="none"/>
        </w:rPr>
      </w:pPr>
      <w:r>
        <w:rPr>
          <w:b w:val="0"/>
          <w:sz w:val="22"/>
          <w:u w:val="none"/>
        </w:rPr>
        <w:t>F</w:t>
      </w:r>
      <w:r w:rsidR="00627662">
        <w:rPr>
          <w:b w:val="0"/>
          <w:sz w:val="22"/>
          <w:u w:val="none"/>
        </w:rPr>
        <w:t>inancial Stability Board (FSB)</w:t>
      </w:r>
    </w:p>
    <w:p w:rsidR="008C29B0" w:rsidRPr="00D91794" w:rsidRDefault="008C29B0" w:rsidP="002A1EE0">
      <w:pPr>
        <w:pStyle w:val="NeAdtabletext"/>
        <w:spacing w:before="120" w:after="120"/>
        <w:rPr>
          <w:b w:val="0"/>
          <w:sz w:val="22"/>
          <w:u w:val="none"/>
        </w:rPr>
      </w:pPr>
      <w:r w:rsidRPr="00D91794">
        <w:rPr>
          <w:b w:val="0"/>
          <w:sz w:val="22"/>
          <w:u w:val="none"/>
        </w:rPr>
        <w:t>National Competent Authority (NCA)</w:t>
      </w:r>
    </w:p>
    <w:p w:rsidR="008260DF" w:rsidRPr="00A365AD" w:rsidRDefault="008260DF" w:rsidP="002A1EE0">
      <w:pPr>
        <w:pStyle w:val="NeAdtabletext"/>
        <w:spacing w:before="120" w:after="120"/>
        <w:rPr>
          <w:b w:val="0"/>
          <w:sz w:val="22"/>
          <w:u w:val="none"/>
        </w:rPr>
      </w:pPr>
      <w:r w:rsidRPr="00A365AD">
        <w:rPr>
          <w:b w:val="0"/>
          <w:sz w:val="22"/>
          <w:u w:val="none"/>
        </w:rPr>
        <w:t>Internal Capital Adequacy Assessment Process (ICAAP)</w:t>
      </w:r>
    </w:p>
    <w:p w:rsidR="008260DF" w:rsidRDefault="008260DF" w:rsidP="002A1EE0">
      <w:pPr>
        <w:pStyle w:val="NeAdtabletext"/>
        <w:spacing w:before="120" w:after="120"/>
        <w:rPr>
          <w:b w:val="0"/>
          <w:sz w:val="22"/>
          <w:u w:val="none"/>
        </w:rPr>
      </w:pPr>
      <w:r w:rsidRPr="008260DF">
        <w:rPr>
          <w:b w:val="0"/>
          <w:sz w:val="22"/>
          <w:u w:val="none"/>
        </w:rPr>
        <w:t>Internal Liquidity Adeq</w:t>
      </w:r>
      <w:r>
        <w:rPr>
          <w:b w:val="0"/>
          <w:sz w:val="22"/>
          <w:u w:val="none"/>
        </w:rPr>
        <w:t>uacy Assessment Process (ILAAP)</w:t>
      </w:r>
    </w:p>
    <w:p w:rsidR="0069179A" w:rsidRDefault="0069179A" w:rsidP="002A1EE0">
      <w:pPr>
        <w:pStyle w:val="NeAdtabletext"/>
        <w:spacing w:before="120" w:after="120"/>
        <w:rPr>
          <w:b w:val="0"/>
          <w:sz w:val="22"/>
          <w:u w:val="none"/>
        </w:rPr>
      </w:pPr>
      <w:r w:rsidRPr="0069179A">
        <w:rPr>
          <w:b w:val="0"/>
          <w:sz w:val="22"/>
          <w:u w:val="none"/>
        </w:rPr>
        <w:t>Less Significant Institution (LSI)</w:t>
      </w:r>
    </w:p>
    <w:p w:rsidR="00746E27" w:rsidRDefault="00746E27" w:rsidP="002A1EE0">
      <w:pPr>
        <w:pStyle w:val="NeAdtabletext"/>
        <w:spacing w:before="120" w:after="120"/>
        <w:rPr>
          <w:b w:val="0"/>
          <w:sz w:val="22"/>
          <w:u w:val="none"/>
        </w:rPr>
      </w:pPr>
      <w:r>
        <w:rPr>
          <w:b w:val="0"/>
          <w:sz w:val="22"/>
          <w:u w:val="none"/>
        </w:rPr>
        <w:t>Liquidity Coverage Ratio (LCR)</w:t>
      </w:r>
    </w:p>
    <w:p w:rsidR="004E26C6" w:rsidRPr="00A365AD" w:rsidRDefault="004E26C6" w:rsidP="002A1EE0">
      <w:pPr>
        <w:pStyle w:val="NeAdtabletext"/>
        <w:spacing w:before="120" w:after="120"/>
        <w:rPr>
          <w:b w:val="0"/>
          <w:sz w:val="22"/>
          <w:u w:val="none"/>
        </w:rPr>
      </w:pPr>
      <w:r>
        <w:rPr>
          <w:b w:val="0"/>
          <w:sz w:val="22"/>
          <w:u w:val="none"/>
        </w:rPr>
        <w:t>Management Board (</w:t>
      </w:r>
      <w:r w:rsidR="00D91794" w:rsidRPr="00D91794">
        <w:rPr>
          <w:b w:val="0"/>
          <w:sz w:val="22"/>
          <w:u w:val="none"/>
        </w:rPr>
        <w:t>MgmtB</w:t>
      </w:r>
      <w:r w:rsidRPr="00A365AD">
        <w:rPr>
          <w:b w:val="0"/>
          <w:sz w:val="22"/>
          <w:u w:val="none"/>
        </w:rPr>
        <w:t>)</w:t>
      </w:r>
    </w:p>
    <w:p w:rsidR="00FA10BB" w:rsidRDefault="00FA10BB" w:rsidP="002A1EE0">
      <w:pPr>
        <w:pStyle w:val="NeAdtabletext"/>
        <w:spacing w:before="120" w:after="120"/>
        <w:rPr>
          <w:b w:val="0"/>
          <w:sz w:val="22"/>
          <w:u w:val="none"/>
        </w:rPr>
      </w:pPr>
      <w:r w:rsidRPr="00FA10BB">
        <w:rPr>
          <w:b w:val="0"/>
          <w:sz w:val="22"/>
          <w:u w:val="none"/>
        </w:rPr>
        <w:t>Management Information System (MIS)</w:t>
      </w:r>
    </w:p>
    <w:p w:rsidR="00DF71B5" w:rsidRDefault="00DF71B5" w:rsidP="002A1EE0">
      <w:pPr>
        <w:pStyle w:val="NeAdtabletext"/>
        <w:spacing w:before="120" w:after="120"/>
        <w:rPr>
          <w:b w:val="0"/>
          <w:sz w:val="22"/>
          <w:u w:val="none"/>
        </w:rPr>
      </w:pPr>
      <w:r>
        <w:rPr>
          <w:b w:val="0"/>
          <w:sz w:val="22"/>
          <w:u w:val="none"/>
        </w:rPr>
        <w:t>National Competent Authority (NCA)</w:t>
      </w:r>
    </w:p>
    <w:p w:rsidR="00F024EC" w:rsidRPr="00EE0258" w:rsidRDefault="00F024EC" w:rsidP="002A1EE0">
      <w:pPr>
        <w:pStyle w:val="NeAdtabletext"/>
        <w:spacing w:before="120" w:after="120"/>
        <w:rPr>
          <w:b w:val="0"/>
          <w:sz w:val="22"/>
          <w:u w:val="none"/>
        </w:rPr>
      </w:pPr>
      <w:r w:rsidRPr="00EE0258">
        <w:rPr>
          <w:b w:val="0"/>
          <w:sz w:val="22"/>
          <w:u w:val="none"/>
        </w:rPr>
        <w:t>Risk Appetite (</w:t>
      </w:r>
      <w:r w:rsidR="00CA651B">
        <w:rPr>
          <w:b w:val="0"/>
          <w:sz w:val="22"/>
          <w:u w:val="none"/>
        </w:rPr>
        <w:t>RAP</w:t>
      </w:r>
      <w:r w:rsidRPr="00EE0258">
        <w:rPr>
          <w:b w:val="0"/>
          <w:sz w:val="22"/>
          <w:u w:val="none"/>
        </w:rPr>
        <w:t>)</w:t>
      </w:r>
    </w:p>
    <w:p w:rsidR="00F024EC" w:rsidRPr="00EE0258" w:rsidRDefault="00F024EC" w:rsidP="002A1EE0">
      <w:pPr>
        <w:pStyle w:val="NeAdtabletext"/>
        <w:spacing w:before="120" w:after="120"/>
        <w:rPr>
          <w:b w:val="0"/>
          <w:sz w:val="22"/>
          <w:u w:val="none"/>
        </w:rPr>
      </w:pPr>
      <w:r w:rsidRPr="00EE0258">
        <w:rPr>
          <w:b w:val="0"/>
          <w:sz w:val="22"/>
          <w:u w:val="none"/>
        </w:rPr>
        <w:t>Risk Appetite Framework (RAF)</w:t>
      </w:r>
    </w:p>
    <w:p w:rsidR="00F024EC" w:rsidRDefault="00F024EC" w:rsidP="002A1EE0">
      <w:pPr>
        <w:pStyle w:val="NeAdtabletext"/>
        <w:spacing w:before="120" w:after="120"/>
        <w:rPr>
          <w:b w:val="0"/>
          <w:sz w:val="22"/>
          <w:u w:val="none"/>
        </w:rPr>
      </w:pPr>
      <w:r w:rsidRPr="00EE0258">
        <w:rPr>
          <w:b w:val="0"/>
          <w:sz w:val="22"/>
          <w:u w:val="none"/>
        </w:rPr>
        <w:t>Risk Appetite Statement (RAS)</w:t>
      </w:r>
    </w:p>
    <w:p w:rsidR="004D556A" w:rsidRDefault="004D556A" w:rsidP="002A1EE0">
      <w:pPr>
        <w:pStyle w:val="NeAdtabletext"/>
        <w:spacing w:before="120" w:after="120"/>
        <w:rPr>
          <w:b w:val="0"/>
          <w:sz w:val="22"/>
          <w:u w:val="none"/>
        </w:rPr>
      </w:pPr>
      <w:r>
        <w:rPr>
          <w:b w:val="0"/>
          <w:sz w:val="22"/>
          <w:u w:val="none"/>
        </w:rPr>
        <w:t>Risk-Weighted Assets (RWA)</w:t>
      </w:r>
    </w:p>
    <w:p w:rsidR="00DF71B5" w:rsidRDefault="00DF71B5" w:rsidP="002A1EE0">
      <w:pPr>
        <w:pStyle w:val="NeAdtabletext"/>
        <w:spacing w:before="120" w:after="120"/>
        <w:rPr>
          <w:b w:val="0"/>
          <w:sz w:val="22"/>
          <w:u w:val="none"/>
        </w:rPr>
      </w:pPr>
      <w:r>
        <w:rPr>
          <w:b w:val="0"/>
          <w:sz w:val="22"/>
          <w:u w:val="none"/>
        </w:rPr>
        <w:t>Significant Institution (SI)</w:t>
      </w:r>
    </w:p>
    <w:p w:rsidR="00F024EC" w:rsidRDefault="00F024EC" w:rsidP="002A1EE0">
      <w:pPr>
        <w:pStyle w:val="NeAdtabletext"/>
        <w:spacing w:before="120" w:after="120"/>
        <w:rPr>
          <w:b w:val="0"/>
          <w:sz w:val="22"/>
          <w:u w:val="none"/>
        </w:rPr>
      </w:pPr>
      <w:r w:rsidRPr="00EE0258">
        <w:rPr>
          <w:b w:val="0"/>
          <w:sz w:val="22"/>
          <w:u w:val="none"/>
        </w:rPr>
        <w:t>Single Supervisory Mechanism (SSM)</w:t>
      </w:r>
    </w:p>
    <w:p w:rsidR="00AA343A" w:rsidRPr="00EE0258" w:rsidRDefault="00AA343A" w:rsidP="002A1EE0">
      <w:pPr>
        <w:pStyle w:val="NeAdtabletext"/>
        <w:spacing w:before="120" w:after="120"/>
        <w:rPr>
          <w:b w:val="0"/>
          <w:sz w:val="22"/>
          <w:u w:val="none"/>
        </w:rPr>
      </w:pPr>
      <w:r w:rsidRPr="00AA343A">
        <w:rPr>
          <w:b w:val="0"/>
          <w:sz w:val="22"/>
          <w:u w:val="none"/>
        </w:rPr>
        <w:t>Slovenian Banking Act of 2015 (Banking Act</w:t>
      </w:r>
      <w:r>
        <w:rPr>
          <w:b w:val="0"/>
          <w:sz w:val="22"/>
          <w:u w:val="none"/>
        </w:rPr>
        <w:t>)</w:t>
      </w:r>
    </w:p>
    <w:p w:rsidR="002A3893" w:rsidRPr="00EE0258" w:rsidRDefault="002A3893" w:rsidP="002A1EE0">
      <w:pPr>
        <w:pStyle w:val="NeAdtabletext"/>
        <w:spacing w:before="120" w:after="120"/>
        <w:rPr>
          <w:b w:val="0"/>
          <w:sz w:val="22"/>
          <w:u w:val="none"/>
        </w:rPr>
      </w:pPr>
      <w:r w:rsidRPr="00EE0258">
        <w:rPr>
          <w:b w:val="0"/>
          <w:sz w:val="22"/>
          <w:u w:val="none"/>
        </w:rPr>
        <w:t>SSM Supervisory Statement on Governance and Risk Appetite (SSM Supervisory Statement)</w:t>
      </w:r>
    </w:p>
    <w:p w:rsidR="00BC0D8B" w:rsidRDefault="00BC0D8B" w:rsidP="002A1EE0">
      <w:pPr>
        <w:pStyle w:val="NeAdtabletext"/>
        <w:spacing w:before="120" w:after="120"/>
        <w:rPr>
          <w:b w:val="0"/>
          <w:sz w:val="22"/>
          <w:u w:val="none"/>
        </w:rPr>
      </w:pPr>
      <w:r w:rsidRPr="00EE0258">
        <w:rPr>
          <w:b w:val="0"/>
          <w:sz w:val="22"/>
          <w:u w:val="none"/>
        </w:rPr>
        <w:t xml:space="preserve">Supervisory Review and Evaluation </w:t>
      </w:r>
      <w:r w:rsidR="00DB0884">
        <w:rPr>
          <w:b w:val="0"/>
          <w:sz w:val="22"/>
          <w:u w:val="none"/>
        </w:rPr>
        <w:t>Process</w:t>
      </w:r>
      <w:r w:rsidRPr="00EE0258">
        <w:rPr>
          <w:b w:val="0"/>
          <w:sz w:val="22"/>
          <w:u w:val="none"/>
        </w:rPr>
        <w:t xml:space="preserve"> (SREP)</w:t>
      </w:r>
    </w:p>
    <w:p w:rsidR="004E26C6" w:rsidRDefault="004E26C6" w:rsidP="002A1EE0">
      <w:pPr>
        <w:pStyle w:val="NeAdtabletext"/>
        <w:spacing w:before="120" w:after="120"/>
        <w:rPr>
          <w:b w:val="0"/>
          <w:sz w:val="22"/>
          <w:u w:val="none"/>
        </w:rPr>
      </w:pPr>
      <w:r>
        <w:rPr>
          <w:b w:val="0"/>
          <w:sz w:val="22"/>
          <w:u w:val="none"/>
        </w:rPr>
        <w:t>Supervisory Board (SB)</w:t>
      </w:r>
    </w:p>
    <w:p w:rsidR="00F024EC" w:rsidRPr="00EE0258" w:rsidRDefault="004E26C6" w:rsidP="00970C12">
      <w:pPr>
        <w:pStyle w:val="NeAdtabletext"/>
        <w:spacing w:before="120" w:after="120"/>
        <w:rPr>
          <w:b w:val="0"/>
          <w:sz w:val="22"/>
          <w:u w:val="none"/>
        </w:rPr>
      </w:pPr>
      <w:r>
        <w:rPr>
          <w:b w:val="0"/>
          <w:sz w:val="22"/>
          <w:u w:val="none"/>
        </w:rPr>
        <w:t>Supervisory Board Risk Committee (SBRC)</w:t>
      </w:r>
    </w:p>
    <w:p w:rsidR="005D56AA" w:rsidRPr="00B521EC" w:rsidRDefault="003A0C22" w:rsidP="00F96B45">
      <w:pPr>
        <w:pStyle w:val="NeAdH1"/>
      </w:pPr>
      <w:bookmarkStart w:id="1" w:name="_Toc510622685"/>
      <w:bookmarkEnd w:id="0"/>
      <w:r>
        <w:t>Introduction</w:t>
      </w:r>
      <w:bookmarkEnd w:id="1"/>
    </w:p>
    <w:p w:rsidR="00EE35B4" w:rsidRPr="00B521EC" w:rsidRDefault="624C5C71" w:rsidP="00473028">
      <w:pPr>
        <w:pStyle w:val="NeAdH2"/>
      </w:pPr>
      <w:bookmarkStart w:id="2" w:name="_Toc496105669"/>
      <w:bookmarkStart w:id="3" w:name="_Hlk490736297"/>
      <w:bookmarkStart w:id="4" w:name="_Toc510622686"/>
      <w:bookmarkStart w:id="5" w:name="_Hlk494382529"/>
      <w:r w:rsidRPr="00B521EC">
        <w:t>Context</w:t>
      </w:r>
      <w:bookmarkEnd w:id="2"/>
      <w:r w:rsidRPr="00B521EC">
        <w:t xml:space="preserve"> </w:t>
      </w:r>
      <w:bookmarkEnd w:id="3"/>
      <w:r w:rsidR="00B16B71">
        <w:t>of the</w:t>
      </w:r>
      <w:r w:rsidR="007816EE">
        <w:t xml:space="preserve"> Guidelines</w:t>
      </w:r>
      <w:bookmarkEnd w:id="4"/>
    </w:p>
    <w:bookmarkEnd w:id="5"/>
    <w:p w:rsidR="00BD4EF9" w:rsidRDefault="00250A41" w:rsidP="00F07844">
      <w:pPr>
        <w:pStyle w:val="NeAdnumber-level1"/>
      </w:pPr>
      <w:r>
        <w:t xml:space="preserve">These guidelines were developed as part of a project </w:t>
      </w:r>
      <w:r w:rsidRPr="00B521EC">
        <w:t xml:space="preserve">to enhance </w:t>
      </w:r>
      <w:r>
        <w:t xml:space="preserve">supervisory </w:t>
      </w:r>
      <w:r w:rsidRPr="00B521EC">
        <w:t>and commercial practices in the area of risk appetite (RAP) and risk appetite frameworks (RAFs) in Slovenia</w:t>
      </w:r>
      <w:r>
        <w:t>.</w:t>
      </w:r>
      <w:r w:rsidRPr="00B521EC" w:rsidDel="00250A41">
        <w:t xml:space="preserve"> </w:t>
      </w:r>
      <w:r w:rsidR="624C5C71" w:rsidRPr="00B521EC">
        <w:t xml:space="preserve">The project </w:t>
      </w:r>
      <w:r w:rsidR="00F07844">
        <w:t xml:space="preserve">is </w:t>
      </w:r>
      <w:r w:rsidR="00F07844" w:rsidRPr="00F07844">
        <w:t>led by Nestor Advisors Ltd., a London-based consultancy exclusively focused on corporate governance and organisational design</w:t>
      </w:r>
      <w:r w:rsidR="00A749C0">
        <w:t xml:space="preserve"> in the financial sector</w:t>
      </w:r>
      <w:r w:rsidR="008C3E57">
        <w:t xml:space="preserve">, </w:t>
      </w:r>
      <w:r w:rsidR="00F07844">
        <w:t>and</w:t>
      </w:r>
      <w:r w:rsidR="624C5C71" w:rsidRPr="00B521EC">
        <w:t xml:space="preserve"> s</w:t>
      </w:r>
      <w:r w:rsidR="00350C8C">
        <w:t>upported by the European Bank for</w:t>
      </w:r>
      <w:r w:rsidR="624C5C71" w:rsidRPr="00B521EC">
        <w:t xml:space="preserve"> Reconstruction and Development (EBRD) and the </w:t>
      </w:r>
      <w:r w:rsidR="00D73AFA">
        <w:t xml:space="preserve">Structural Reform Support Service of the </w:t>
      </w:r>
      <w:r w:rsidR="624C5C71" w:rsidRPr="00B521EC">
        <w:t>European Commission (EC)</w:t>
      </w:r>
      <w:r w:rsidR="00F07844">
        <w:t>.</w:t>
      </w:r>
    </w:p>
    <w:p w:rsidR="008075E6" w:rsidRPr="00B521EC" w:rsidRDefault="00D71929" w:rsidP="008075E6">
      <w:pPr>
        <w:pStyle w:val="NeAdnumber-level1"/>
      </w:pPr>
      <w:r w:rsidRPr="00B521EC">
        <w:t>The</w:t>
      </w:r>
      <w:r w:rsidR="624C5C71" w:rsidRPr="00B521EC">
        <w:t xml:space="preserve"> three main </w:t>
      </w:r>
      <w:r w:rsidRPr="00B521EC">
        <w:t xml:space="preserve">project </w:t>
      </w:r>
      <w:r w:rsidR="624C5C71" w:rsidRPr="00B521EC">
        <w:t>deliverables are:</w:t>
      </w:r>
    </w:p>
    <w:p w:rsidR="003F77FC" w:rsidRPr="00B521EC" w:rsidRDefault="006B4182" w:rsidP="003F77FC">
      <w:pPr>
        <w:pStyle w:val="NeAdnumber-level2"/>
      </w:pPr>
      <w:r w:rsidRPr="00B521EC">
        <w:t>A</w:t>
      </w:r>
      <w:r w:rsidR="624C5C71" w:rsidRPr="00B521EC">
        <w:t xml:space="preserve"> report describing bes</w:t>
      </w:r>
      <w:r w:rsidR="00C568EB" w:rsidRPr="00B521EC">
        <w:t>t supervisory practices related</w:t>
      </w:r>
      <w:r w:rsidR="624C5C71" w:rsidRPr="00B521EC">
        <w:t xml:space="preserve"> to assessing RAFs and best </w:t>
      </w:r>
      <w:r w:rsidR="00CA651B">
        <w:t>RAP</w:t>
      </w:r>
      <w:r w:rsidR="624C5C71" w:rsidRPr="00B521EC">
        <w:t xml:space="preserve"> practices in selected EU </w:t>
      </w:r>
      <w:r w:rsidR="00DF0EC7">
        <w:t>banks</w:t>
      </w:r>
      <w:r w:rsidR="00102F26">
        <w:t xml:space="preserve"> (the report)</w:t>
      </w:r>
      <w:r w:rsidR="624C5C71" w:rsidRPr="00B521EC">
        <w:t>;</w:t>
      </w:r>
    </w:p>
    <w:p w:rsidR="0080062D" w:rsidRPr="00B521EC" w:rsidRDefault="006B4182" w:rsidP="003F77FC">
      <w:pPr>
        <w:pStyle w:val="NeAdnumber-level2"/>
      </w:pPr>
      <w:r w:rsidRPr="00B521EC">
        <w:t>G</w:t>
      </w:r>
      <w:r w:rsidR="624C5C71" w:rsidRPr="00B521EC">
        <w:t xml:space="preserve">uidelines </w:t>
      </w:r>
      <w:r w:rsidR="00077C68">
        <w:t>on</w:t>
      </w:r>
      <w:r w:rsidR="624C5C71" w:rsidRPr="00B521EC">
        <w:t xml:space="preserve"> </w:t>
      </w:r>
      <w:r w:rsidR="00CA651B">
        <w:t>RAP</w:t>
      </w:r>
      <w:r w:rsidR="00470DCF" w:rsidRPr="00B521EC">
        <w:t xml:space="preserve"> practices for banks</w:t>
      </w:r>
      <w:r w:rsidR="00DC3A47">
        <w:t xml:space="preserve"> (the guidelines)</w:t>
      </w:r>
      <w:r w:rsidR="000867B0">
        <w:t>;</w:t>
      </w:r>
      <w:r w:rsidR="00470DCF" w:rsidRPr="00B521EC">
        <w:t xml:space="preserve"> </w:t>
      </w:r>
      <w:r w:rsidR="624C5C71" w:rsidRPr="00B521EC">
        <w:t>and</w:t>
      </w:r>
    </w:p>
    <w:p w:rsidR="0080062D" w:rsidRPr="00B521EC" w:rsidRDefault="006B4182" w:rsidP="003F77FC">
      <w:pPr>
        <w:pStyle w:val="NeAdnumber-level2"/>
      </w:pPr>
      <w:r w:rsidRPr="00B521EC">
        <w:t>T</w:t>
      </w:r>
      <w:r w:rsidR="624C5C71" w:rsidRPr="00B521EC">
        <w:t>r</w:t>
      </w:r>
      <w:r w:rsidR="00B006A9" w:rsidRPr="00B521EC">
        <w:t>aining for</w:t>
      </w:r>
      <w:r w:rsidR="624C5C71" w:rsidRPr="00B521EC">
        <w:t xml:space="preserve"> the </w:t>
      </w:r>
      <w:r w:rsidR="00A24DA3" w:rsidRPr="00B521EC">
        <w:t>BoS</w:t>
      </w:r>
      <w:r w:rsidR="624C5C71" w:rsidRPr="00B521EC">
        <w:t xml:space="preserve"> and Slovenian banks on the guidelines. </w:t>
      </w:r>
    </w:p>
    <w:p w:rsidR="003F6345" w:rsidRDefault="00120104" w:rsidP="00DE2C32">
      <w:pPr>
        <w:pStyle w:val="NeAdnumber-level1"/>
      </w:pPr>
      <w:bookmarkStart w:id="6" w:name="_Hlk494123340"/>
      <w:r w:rsidRPr="00120104">
        <w:t>The guidelines are designed to be as practicable as possible and include examples of good and bad practices to provide detailed and actionable guidance to banks.</w:t>
      </w:r>
      <w:r w:rsidR="00DE2C32">
        <w:t xml:space="preserve"> </w:t>
      </w:r>
      <w:r w:rsidR="004A5BA0">
        <w:t>Th</w:t>
      </w:r>
      <w:r w:rsidR="00DE2C32">
        <w:t>e</w:t>
      </w:r>
      <w:r w:rsidR="004A5BA0">
        <w:t xml:space="preserve"> gui</w:t>
      </w:r>
      <w:r w:rsidR="00DE4A4C">
        <w:t>dance is</w:t>
      </w:r>
      <w:r w:rsidR="004A5BA0">
        <w:t xml:space="preserve"> based </w:t>
      </w:r>
      <w:r w:rsidR="0076766E">
        <w:t>up</w:t>
      </w:r>
      <w:r w:rsidR="004A5BA0">
        <w:t>on the report</w:t>
      </w:r>
      <w:r w:rsidR="002C0D8D">
        <w:t>, which was delivered and presented to the project stakeholders in December 2017</w:t>
      </w:r>
      <w:r w:rsidR="00446AEB">
        <w:t>,</w:t>
      </w:r>
      <w:r w:rsidR="004A5BA0">
        <w:t xml:space="preserve"> and </w:t>
      </w:r>
      <w:r w:rsidR="00B75C9D">
        <w:t xml:space="preserve">on </w:t>
      </w:r>
      <w:r w:rsidR="004A5BA0">
        <w:t xml:space="preserve">subsequent discussions among the project stakeholders. </w:t>
      </w:r>
      <w:r w:rsidR="005858BC">
        <w:t>The report includes</w:t>
      </w:r>
      <w:r w:rsidR="004E103E">
        <w:t xml:space="preserve"> detailed reviews of</w:t>
      </w:r>
      <w:r w:rsidR="00F24BC7">
        <w:t>:</w:t>
      </w:r>
    </w:p>
    <w:p w:rsidR="003F6345" w:rsidRDefault="00F24BC7" w:rsidP="003F6345">
      <w:pPr>
        <w:pStyle w:val="NeAdnumber-level2"/>
      </w:pPr>
      <w:r>
        <w:t>T</w:t>
      </w:r>
      <w:r w:rsidR="006F71EB">
        <w:t>he</w:t>
      </w:r>
      <w:r w:rsidR="006F71EB" w:rsidRPr="006F71EB">
        <w:t xml:space="preserve"> relevant Slovenian regulations and approach by the BoS</w:t>
      </w:r>
      <w:r w:rsidR="004706E1">
        <w:t>;</w:t>
      </w:r>
      <w:r w:rsidR="006F71EB">
        <w:t xml:space="preserve"> </w:t>
      </w:r>
    </w:p>
    <w:p w:rsidR="003F6345" w:rsidRDefault="004F50AB" w:rsidP="003F6345">
      <w:pPr>
        <w:pStyle w:val="NeAdnumber-level2"/>
      </w:pPr>
      <w:r>
        <w:t xml:space="preserve">RAF </w:t>
      </w:r>
      <w:r w:rsidR="006F71EB">
        <w:t xml:space="preserve">practices of a representative sample of six </w:t>
      </w:r>
      <w:r w:rsidR="00480DCC">
        <w:t>Slovenian</w:t>
      </w:r>
      <w:r w:rsidR="006F71EB">
        <w:t xml:space="preserve"> banks</w:t>
      </w:r>
      <w:r w:rsidR="004706E1">
        <w:t>;</w:t>
      </w:r>
      <w:r w:rsidR="006F71EB">
        <w:t xml:space="preserve"> </w:t>
      </w:r>
    </w:p>
    <w:p w:rsidR="003F6345" w:rsidRDefault="000C7F58" w:rsidP="003F6345">
      <w:pPr>
        <w:pStyle w:val="NeAdnumber-level2"/>
      </w:pPr>
      <w:r>
        <w:t>B</w:t>
      </w:r>
      <w:r w:rsidR="006F71EB">
        <w:t xml:space="preserve">est supervisory practices </w:t>
      </w:r>
      <w:r w:rsidR="00480DCC">
        <w:t xml:space="preserve">and expectations </w:t>
      </w:r>
      <w:r w:rsidR="000A13D2">
        <w:t xml:space="preserve">related to RAFs </w:t>
      </w:r>
      <w:r w:rsidR="00293C0F">
        <w:t>in the EU and beyond</w:t>
      </w:r>
      <w:r w:rsidR="00747838">
        <w:t xml:space="preserve">. The EU supervisory context was </w:t>
      </w:r>
      <w:r w:rsidR="001A0A2B">
        <w:t>at the heart of this</w:t>
      </w:r>
      <w:r w:rsidR="003B0A74">
        <w:t xml:space="preserve"> </w:t>
      </w:r>
      <w:r w:rsidR="001A0A2B">
        <w:t>section</w:t>
      </w:r>
      <w:r w:rsidR="003B0A74">
        <w:t xml:space="preserve">, because </w:t>
      </w:r>
      <w:r w:rsidR="00584F33" w:rsidRPr="003B0A74">
        <w:t>Slovenia’s banking sector</w:t>
      </w:r>
      <w:r w:rsidR="003B0A74" w:rsidRPr="003B0A74">
        <w:t xml:space="preserve"> is closely integrated</w:t>
      </w:r>
      <w:r w:rsidR="00584F33" w:rsidRPr="003B0A74">
        <w:t xml:space="preserve"> into </w:t>
      </w:r>
      <w:r w:rsidR="001A0A2B">
        <w:t>the</w:t>
      </w:r>
      <w:r w:rsidR="00584F33" w:rsidRPr="003B0A74">
        <w:t xml:space="preserve"> </w:t>
      </w:r>
      <w:r w:rsidR="008F52D9" w:rsidRPr="003B0A74">
        <w:t>EU</w:t>
      </w:r>
      <w:r w:rsidR="00922C68">
        <w:t>’s common</w:t>
      </w:r>
      <w:r w:rsidR="008F52D9" w:rsidRPr="003B0A74">
        <w:t xml:space="preserve"> institutional architecture</w:t>
      </w:r>
      <w:r w:rsidR="003B0A74" w:rsidRPr="003B0A74">
        <w:t xml:space="preserve"> (</w:t>
      </w:r>
      <w:r w:rsidR="0076766E">
        <w:t xml:space="preserve">as a </w:t>
      </w:r>
      <w:r w:rsidR="003B0A74" w:rsidRPr="003B0A74">
        <w:t>member of the Eurozone</w:t>
      </w:r>
      <w:r w:rsidR="0076766E">
        <w:t xml:space="preserve"> and a </w:t>
      </w:r>
      <w:r w:rsidR="003B0A74" w:rsidRPr="003B0A74">
        <w:t>participa</w:t>
      </w:r>
      <w:r w:rsidR="0076766E">
        <w:t>nt</w:t>
      </w:r>
      <w:r w:rsidR="003B0A74" w:rsidRPr="003B0A74">
        <w:t xml:space="preserve"> in the SSM)</w:t>
      </w:r>
      <w:r w:rsidR="004706E1">
        <w:t>;</w:t>
      </w:r>
      <w:r w:rsidR="00293C0F">
        <w:t xml:space="preserve"> and</w:t>
      </w:r>
    </w:p>
    <w:p w:rsidR="005F5856" w:rsidRDefault="000C7F58" w:rsidP="003B0A74">
      <w:pPr>
        <w:pStyle w:val="NeAdnumber-level2"/>
      </w:pPr>
      <w:r>
        <w:t>B</w:t>
      </w:r>
      <w:r w:rsidR="000A13D2">
        <w:t>est RAF practices across a representative sample of six European banks.</w:t>
      </w:r>
    </w:p>
    <w:p w:rsidR="0049165E" w:rsidRDefault="00482636" w:rsidP="00482636">
      <w:pPr>
        <w:pStyle w:val="NeAdnumber-level1"/>
      </w:pPr>
      <w:r>
        <w:t xml:space="preserve">Because of Slovenia’s </w:t>
      </w:r>
      <w:r w:rsidR="00795560">
        <w:t>membership of the</w:t>
      </w:r>
      <w:r>
        <w:t xml:space="preserve"> Eurozone, the guidelines are designed to reflect existing SSM guidance and practice regarding RAFs. </w:t>
      </w:r>
      <w:r w:rsidR="00984E55">
        <w:t>The</w:t>
      </w:r>
      <w:r w:rsidR="000A122E">
        <w:t xml:space="preserve"> guidelines</w:t>
      </w:r>
      <w:r w:rsidR="004A5BA0">
        <w:t xml:space="preserve"> </w:t>
      </w:r>
      <w:r w:rsidR="00371A1D">
        <w:t>take as their starting point the</w:t>
      </w:r>
      <w:r w:rsidR="004A5BA0">
        <w:t xml:space="preserve"> recommendations</w:t>
      </w:r>
      <w:r w:rsidR="00FE4F59">
        <w:t xml:space="preserve"> </w:t>
      </w:r>
      <w:r w:rsidR="000A1DF7">
        <w:t xml:space="preserve">in the report that </w:t>
      </w:r>
      <w:r w:rsidR="00FE4F59">
        <w:t>aim to help banks improve</w:t>
      </w:r>
      <w:r w:rsidR="00340BBE">
        <w:t xml:space="preserve"> their </w:t>
      </w:r>
      <w:r w:rsidR="00CA651B">
        <w:t>RAP</w:t>
      </w:r>
      <w:r w:rsidR="00250A41">
        <w:t>-</w:t>
      </w:r>
      <w:r w:rsidR="00340BBE">
        <w:t>related practices</w:t>
      </w:r>
      <w:r w:rsidR="007D3758">
        <w:t>.</w:t>
      </w:r>
      <w:r w:rsidR="0044470B">
        <w:t xml:space="preserve"> </w:t>
      </w:r>
      <w:r w:rsidR="008F031E">
        <w:t>Given</w:t>
      </w:r>
      <w:r w:rsidR="003D791C">
        <w:t xml:space="preserve"> the important link between the guidelines and the </w:t>
      </w:r>
      <w:r w:rsidR="00C979C2">
        <w:t>recommendations</w:t>
      </w:r>
      <w:r w:rsidR="003D791C">
        <w:t xml:space="preserve">, </w:t>
      </w:r>
      <w:r w:rsidR="00C979C2">
        <w:t xml:space="preserve">the guidelines should be </w:t>
      </w:r>
      <w:r w:rsidR="0076766E">
        <w:t xml:space="preserve">considered </w:t>
      </w:r>
      <w:r w:rsidR="00C979C2">
        <w:t>in conjunction with the findings in the report.</w:t>
      </w:r>
      <w:r w:rsidR="00F950DC">
        <w:t xml:space="preserve"> </w:t>
      </w:r>
    </w:p>
    <w:p w:rsidR="001E6E30" w:rsidRDefault="00D75E9C" w:rsidP="00AF682A">
      <w:pPr>
        <w:pStyle w:val="NeAdnumber-level1"/>
        <w:keepNext/>
      </w:pPr>
      <w:r>
        <w:t>The guidelines</w:t>
      </w:r>
      <w:bookmarkEnd w:id="6"/>
      <w:r w:rsidR="00361685">
        <w:t xml:space="preserve"> </w:t>
      </w:r>
      <w:r w:rsidR="000B28B8">
        <w:t xml:space="preserve">are </w:t>
      </w:r>
      <w:r w:rsidR="00440C4E">
        <w:t>structured around</w:t>
      </w:r>
      <w:r w:rsidR="001E6E30">
        <w:t xml:space="preserve"> three distinct areas: </w:t>
      </w:r>
    </w:p>
    <w:p w:rsidR="001E6E30" w:rsidRDefault="00595E32" w:rsidP="00AF682A">
      <w:pPr>
        <w:pStyle w:val="NeAdnumber-level2"/>
        <w:keepNext/>
      </w:pPr>
      <w:r w:rsidRPr="00DF0921">
        <w:rPr>
          <w:b/>
          <w:i/>
        </w:rPr>
        <w:t>Governance and Process</w:t>
      </w:r>
      <w:r w:rsidR="00B336BC">
        <w:t>;</w:t>
      </w:r>
      <w:r w:rsidR="001E6E30">
        <w:t xml:space="preserve"> covering the relationship between the RAF and </w:t>
      </w:r>
      <w:r w:rsidR="00775CC3">
        <w:t xml:space="preserve">business </w:t>
      </w:r>
      <w:r w:rsidR="001E6E30">
        <w:t>strategy, the role of different internal stakeholders</w:t>
      </w:r>
      <w:r w:rsidR="00250A41">
        <w:t xml:space="preserve"> in the development and implementation of RAFs</w:t>
      </w:r>
      <w:r w:rsidR="001E6E30">
        <w:t>, and RAFs in a group context;</w:t>
      </w:r>
    </w:p>
    <w:p w:rsidR="001E6E30" w:rsidRDefault="001E6E30" w:rsidP="00480183">
      <w:pPr>
        <w:pStyle w:val="NeAdnumber-level2"/>
      </w:pPr>
      <w:r w:rsidRPr="00DF0921">
        <w:rPr>
          <w:b/>
          <w:i/>
        </w:rPr>
        <w:t>Content and Metrics</w:t>
      </w:r>
      <w:r w:rsidR="00B336BC">
        <w:t>;</w:t>
      </w:r>
      <w:r>
        <w:t xml:space="preserve"> covering</w:t>
      </w:r>
      <w:r w:rsidR="00480183">
        <w:t xml:space="preserve"> the relationship between</w:t>
      </w:r>
      <w:r>
        <w:t xml:space="preserve"> </w:t>
      </w:r>
      <w:r w:rsidR="00480183" w:rsidRPr="00480183">
        <w:t xml:space="preserve">the RAF, the Internal Capital Adequacy Assessment Process (ICAAP), </w:t>
      </w:r>
      <w:r w:rsidR="00B336BC">
        <w:t>t</w:t>
      </w:r>
      <w:r w:rsidR="00480183" w:rsidRPr="00480183">
        <w:t xml:space="preserve">he Internal Liquidity Adequacy Assessment Process (ILAAP), </w:t>
      </w:r>
      <w:r w:rsidR="00250A41">
        <w:t xml:space="preserve">the </w:t>
      </w:r>
      <w:r>
        <w:t>definition</w:t>
      </w:r>
      <w:r w:rsidR="00250A41">
        <w:t xml:space="preserve"> and importance</w:t>
      </w:r>
      <w:r>
        <w:t xml:space="preserve"> of risk capacity</w:t>
      </w:r>
      <w:r w:rsidR="00480183">
        <w:t>,</w:t>
      </w:r>
      <w:r w:rsidR="00324AF3">
        <w:t xml:space="preserve"> </w:t>
      </w:r>
      <w:r>
        <w:t xml:space="preserve">the different </w:t>
      </w:r>
      <w:r w:rsidR="009E71A2">
        <w:t xml:space="preserve">quantitative and qualitative </w:t>
      </w:r>
      <w:r>
        <w:t>elements of the Risk Appetite Statement (RAS)</w:t>
      </w:r>
      <w:r w:rsidR="008E7047">
        <w:t>,</w:t>
      </w:r>
      <w:r w:rsidR="00F442EE">
        <w:t xml:space="preserve"> and </w:t>
      </w:r>
      <w:r w:rsidR="00324AF3">
        <w:t>the “</w:t>
      </w:r>
      <w:r w:rsidR="00F442EE">
        <w:t>dashboard</w:t>
      </w:r>
      <w:r w:rsidR="00324AF3">
        <w:t>”</w:t>
      </w:r>
      <w:r w:rsidR="00F442EE">
        <w:t>;</w:t>
      </w:r>
      <w:r w:rsidR="00B775B9">
        <w:t xml:space="preserve"> and</w:t>
      </w:r>
    </w:p>
    <w:p w:rsidR="00B51BD6" w:rsidRPr="00DA2E65" w:rsidRDefault="001E6E30" w:rsidP="004A5D1A">
      <w:pPr>
        <w:pStyle w:val="NeAdnumber-level2"/>
      </w:pPr>
      <w:r w:rsidRPr="004A5D1A">
        <w:rPr>
          <w:b/>
          <w:i/>
        </w:rPr>
        <w:t>Embedding and Cascading</w:t>
      </w:r>
      <w:r w:rsidR="00B336BC">
        <w:t>;</w:t>
      </w:r>
      <w:r>
        <w:t xml:space="preserve"> covering the cascading of </w:t>
      </w:r>
      <w:r w:rsidR="00CA651B">
        <w:t>RAP</w:t>
      </w:r>
      <w:r>
        <w:t xml:space="preserve"> </w:t>
      </w:r>
      <w:r w:rsidR="00775CC3">
        <w:t xml:space="preserve">thresholds and </w:t>
      </w:r>
      <w:r>
        <w:t xml:space="preserve">limits throughout the </w:t>
      </w:r>
      <w:r w:rsidR="004C6022">
        <w:t>bank</w:t>
      </w:r>
      <w:r>
        <w:t>, escalation in case of breaches, training</w:t>
      </w:r>
      <w:r w:rsidR="00F442EE">
        <w:t xml:space="preserve"> and other embedding mechanisms</w:t>
      </w:r>
      <w:r>
        <w:t xml:space="preserve">, </w:t>
      </w:r>
      <w:r w:rsidR="00CA651B">
        <w:t>RA</w:t>
      </w:r>
      <w:r w:rsidR="004A5D1A">
        <w:t>P</w:t>
      </w:r>
      <w:r w:rsidR="00F442EE">
        <w:t>-</w:t>
      </w:r>
      <w:r>
        <w:t xml:space="preserve">related remuneration </w:t>
      </w:r>
      <w:r w:rsidR="0076766E">
        <w:t>matters</w:t>
      </w:r>
      <w:r>
        <w:t>, and external communication</w:t>
      </w:r>
      <w:r w:rsidR="00F442EE">
        <w:t xml:space="preserve">s related to </w:t>
      </w:r>
      <w:r w:rsidR="00CA651B">
        <w:t>RA</w:t>
      </w:r>
      <w:r w:rsidR="004A5D1A">
        <w:t>P</w:t>
      </w:r>
      <w:r>
        <w:t>.</w:t>
      </w:r>
      <w:r w:rsidR="00B51BD6" w:rsidRPr="00B51BD6">
        <w:t xml:space="preserve"> </w:t>
      </w:r>
    </w:p>
    <w:p w:rsidR="00B51BD6" w:rsidRDefault="00B51BD6" w:rsidP="00B51BD6">
      <w:pPr>
        <w:pStyle w:val="NeAdnumber-level1"/>
        <w:rPr>
          <w:szCs w:val="21"/>
          <w:lang w:val="en-US"/>
        </w:rPr>
      </w:pPr>
      <w:r>
        <w:t xml:space="preserve">Proportionality is an important element in every supervisory approach </w:t>
      </w:r>
      <w:r w:rsidR="009C6444">
        <w:t>under</w:t>
      </w:r>
      <w:r>
        <w:t xml:space="preserve"> Pillar 2 </w:t>
      </w:r>
      <w:r w:rsidR="009C6444">
        <w:t>of</w:t>
      </w:r>
      <w:r w:rsidR="00842CEF">
        <w:t xml:space="preserve"> the Basel Framework</w:t>
      </w:r>
      <w:r>
        <w:t xml:space="preserve">. </w:t>
      </w:r>
      <w:r w:rsidR="0076766E">
        <w:t>In order to</w:t>
      </w:r>
      <w:r>
        <w:rPr>
          <w:szCs w:val="21"/>
          <w:lang w:val="en-US"/>
        </w:rPr>
        <w:t xml:space="preserve"> ensure the guidelines are actionable and useful to </w:t>
      </w:r>
      <w:r w:rsidR="0076766E">
        <w:rPr>
          <w:szCs w:val="21"/>
          <w:lang w:val="en-US"/>
        </w:rPr>
        <w:t>all</w:t>
      </w:r>
      <w:r>
        <w:rPr>
          <w:szCs w:val="21"/>
          <w:lang w:val="en-US"/>
        </w:rPr>
        <w:t xml:space="preserve"> Slovenian banks </w:t>
      </w:r>
      <w:r w:rsidR="00BD68BA">
        <w:rPr>
          <w:szCs w:val="21"/>
          <w:lang w:val="en-US"/>
        </w:rPr>
        <w:t xml:space="preserve">- including both SIs and LSIs - </w:t>
      </w:r>
      <w:r>
        <w:rPr>
          <w:szCs w:val="21"/>
          <w:lang w:val="en-US"/>
        </w:rPr>
        <w:t xml:space="preserve">we also discuss specific questions of proportionality in </w:t>
      </w:r>
      <w:r w:rsidR="00A749C0">
        <w:rPr>
          <w:szCs w:val="21"/>
          <w:lang w:val="en-US"/>
        </w:rPr>
        <w:t xml:space="preserve">each of the three areas </w:t>
      </w:r>
      <w:r>
        <w:rPr>
          <w:szCs w:val="21"/>
          <w:lang w:val="en-US"/>
        </w:rPr>
        <w:t>and give examples where appropriate.</w:t>
      </w:r>
    </w:p>
    <w:p w:rsidR="00757048" w:rsidRDefault="00757048" w:rsidP="00757048">
      <w:pPr>
        <w:pStyle w:val="NeAdnumber-level1"/>
      </w:pPr>
      <w:r>
        <w:rPr>
          <w:lang w:val="en-US"/>
        </w:rPr>
        <w:t>I</w:t>
      </w:r>
      <w:r>
        <w:t>t is also important to stress that the Slovenian legal framework provides for both dual and unitary board structures. Under the dual board system, there are two separate boards</w:t>
      </w:r>
      <w:r w:rsidR="00A749C0">
        <w:t>:</w:t>
      </w:r>
      <w:r>
        <w:t xml:space="preserve"> the Management Board (MgmtB) responsible for daily management of the business and executing the bank’s strategy</w:t>
      </w:r>
      <w:r w:rsidR="00A749C0">
        <w:t>;</w:t>
      </w:r>
      <w:r>
        <w:t xml:space="preserve"> and the </w:t>
      </w:r>
      <w:r w:rsidR="00E51BE0">
        <w:t>Supervisory Board (</w:t>
      </w:r>
      <w:r>
        <w:t>SB</w:t>
      </w:r>
      <w:r w:rsidR="00E51BE0">
        <w:t>)</w:t>
      </w:r>
      <w:r>
        <w:t xml:space="preserve"> responsible for setting the bank’s strategy as well as overseeing management. By contrast, under the unitary board system, there is only one Board of Directors generally composed of both executive and non-executive Directors.</w:t>
      </w:r>
    </w:p>
    <w:p w:rsidR="00757048" w:rsidRDefault="00172D1A" w:rsidP="00536A59">
      <w:pPr>
        <w:pStyle w:val="NeAdnumber-level1"/>
      </w:pPr>
      <w:r>
        <w:t xml:space="preserve">The CRD IV framework generally refers to the “management body” of a bank to cover both </w:t>
      </w:r>
      <w:r w:rsidR="00954312">
        <w:t>dual and unitary board structures.</w:t>
      </w:r>
      <w:r w:rsidR="007C2C53">
        <w:rPr>
          <w:rStyle w:val="Sprotnaopomba-sklic"/>
        </w:rPr>
        <w:footnoteReference w:id="2"/>
      </w:r>
      <w:r w:rsidR="00954312">
        <w:t xml:space="preserve"> </w:t>
      </w:r>
      <w:r w:rsidR="00757048">
        <w:t xml:space="preserve">Based on the prevalence of the dual board system in </w:t>
      </w:r>
      <w:r w:rsidR="00E51BE0">
        <w:t>the</w:t>
      </w:r>
      <w:r w:rsidR="00757048">
        <w:t xml:space="preserve"> sample of Slovenian banks</w:t>
      </w:r>
      <w:r w:rsidR="00E51BE0">
        <w:t xml:space="preserve"> that participated in the drafting of the report</w:t>
      </w:r>
      <w:r w:rsidR="00757048">
        <w:t xml:space="preserve">, </w:t>
      </w:r>
      <w:r w:rsidR="00E51BE0">
        <w:t>the guidelines</w:t>
      </w:r>
      <w:r w:rsidR="00757048">
        <w:t xml:space="preserve"> generally refer </w:t>
      </w:r>
      <w:r w:rsidR="00757048" w:rsidRPr="001D2E8B">
        <w:rPr>
          <w:rFonts w:asciiTheme="minorHAnsi" w:hAnsiTheme="minorHAnsi"/>
        </w:rPr>
        <w:t>to the SB</w:t>
      </w:r>
      <w:r w:rsidR="00294BDE" w:rsidRPr="001D2E8B">
        <w:rPr>
          <w:rFonts w:asciiTheme="minorHAnsi" w:hAnsiTheme="minorHAnsi" w:cs="Times New Roman"/>
        </w:rPr>
        <w:t xml:space="preserve"> </w:t>
      </w:r>
      <w:r w:rsidR="00A749C0">
        <w:rPr>
          <w:rFonts w:asciiTheme="minorHAnsi" w:hAnsiTheme="minorHAnsi" w:cs="Times New Roman"/>
        </w:rPr>
        <w:t xml:space="preserve">as </w:t>
      </w:r>
      <w:r w:rsidR="00294BDE" w:rsidRPr="001D2E8B">
        <w:rPr>
          <w:rFonts w:asciiTheme="minorHAnsi" w:hAnsiTheme="minorHAnsi" w:cs="Times New Roman"/>
        </w:rPr>
        <w:t>the body charged with</w:t>
      </w:r>
      <w:r w:rsidR="00294BDE" w:rsidRPr="001D2E8B">
        <w:rPr>
          <w:rFonts w:asciiTheme="minorHAnsi" w:hAnsiTheme="minorHAnsi"/>
        </w:rPr>
        <w:t xml:space="preserve"> setting the</w:t>
      </w:r>
      <w:r w:rsidR="00294BDE" w:rsidRPr="00294BDE">
        <w:t xml:space="preserve"> bank’s strategy as well as overseeing management</w:t>
      </w:r>
      <w:r w:rsidR="00757048">
        <w:t xml:space="preserve">. However, it is important to note that </w:t>
      </w:r>
      <w:r w:rsidR="00E51BE0">
        <w:t>the guidelines</w:t>
      </w:r>
      <w:r w:rsidR="00757048">
        <w:t xml:space="preserve"> cover both systems. This approach is aligned with the </w:t>
      </w:r>
      <w:r w:rsidR="00536A59" w:rsidRPr="00B521EC">
        <w:rPr>
          <w:rFonts w:cs="Calibri"/>
          <w:i/>
        </w:rPr>
        <w:t>SSM Supervisory Statement on Governance and Risk Appetite</w:t>
      </w:r>
      <w:r w:rsidR="00B92A30">
        <w:rPr>
          <w:rFonts w:cs="Calibri"/>
          <w:i/>
        </w:rPr>
        <w:t xml:space="preserve"> (SSM Supervisory Statement)</w:t>
      </w:r>
      <w:r w:rsidR="00757048">
        <w:rPr>
          <w:rStyle w:val="Sprotnaopomba-sklic"/>
        </w:rPr>
        <w:footnoteReference w:id="3"/>
      </w:r>
      <w:r w:rsidR="00757048">
        <w:t xml:space="preserve"> and with the </w:t>
      </w:r>
      <w:r w:rsidR="00757048" w:rsidRPr="004C60D4">
        <w:t>EBA</w:t>
      </w:r>
      <w:r w:rsidR="00536A59">
        <w:t xml:space="preserve">’s </w:t>
      </w:r>
      <w:r w:rsidR="00536A59" w:rsidRPr="00536A59">
        <w:rPr>
          <w:i/>
        </w:rPr>
        <w:t>Internal Governance Guidelines</w:t>
      </w:r>
      <w:r w:rsidR="00B92A30">
        <w:rPr>
          <w:i/>
        </w:rPr>
        <w:t xml:space="preserve"> (EBA Governance Guidelines)</w:t>
      </w:r>
      <w:r w:rsidR="00757048">
        <w:rPr>
          <w:rStyle w:val="Sprotnaopomba-sklic"/>
        </w:rPr>
        <w:footnoteReference w:id="4"/>
      </w:r>
      <w:r w:rsidR="00757048">
        <w:t xml:space="preserve">. </w:t>
      </w:r>
    </w:p>
    <w:p w:rsidR="003C56E1" w:rsidRPr="00B521EC" w:rsidRDefault="003C56E1" w:rsidP="00CC03BB">
      <w:pPr>
        <w:pStyle w:val="NeAdH2"/>
        <w:keepNext/>
      </w:pPr>
      <w:bookmarkStart w:id="7" w:name="_Toc510622687"/>
      <w:r>
        <w:t>Objective</w:t>
      </w:r>
      <w:r w:rsidR="00F25721">
        <w:t>s</w:t>
      </w:r>
      <w:r>
        <w:t xml:space="preserve"> of the Guidelines and </w:t>
      </w:r>
      <w:r w:rsidR="00F25721">
        <w:t>K</w:t>
      </w:r>
      <w:r>
        <w:t xml:space="preserve">ey </w:t>
      </w:r>
      <w:r w:rsidR="00F25721">
        <w:t>P</w:t>
      </w:r>
      <w:r>
        <w:t xml:space="preserve">rinciples for RAF </w:t>
      </w:r>
      <w:r w:rsidR="00F25721">
        <w:t>S</w:t>
      </w:r>
      <w:r>
        <w:t xml:space="preserve">upervisory </w:t>
      </w:r>
      <w:r w:rsidR="00F25721">
        <w:t>A</w:t>
      </w:r>
      <w:r>
        <w:t>ssessment</w:t>
      </w:r>
      <w:bookmarkEnd w:id="7"/>
      <w:r>
        <w:t xml:space="preserve"> </w:t>
      </w:r>
    </w:p>
    <w:p w:rsidR="003C56E1" w:rsidRDefault="003C56E1" w:rsidP="00CC03BB">
      <w:pPr>
        <w:pStyle w:val="NeAdnumber-level1"/>
        <w:keepNext/>
      </w:pPr>
      <w:r>
        <w:t xml:space="preserve">RAFs are part of the </w:t>
      </w:r>
      <w:r w:rsidR="00C42B09">
        <w:t xml:space="preserve">Basel </w:t>
      </w:r>
      <w:r>
        <w:t>Pillar 2 toolkit</w:t>
      </w:r>
      <w:r w:rsidR="00F975F3">
        <w:t>. A</w:t>
      </w:r>
      <w:r>
        <w:t xml:space="preserve">s such, their development is and should remain the primary responsibility of individual banks. Hence, the </w:t>
      </w:r>
      <w:r w:rsidR="00F975F3">
        <w:t>g</w:t>
      </w:r>
      <w:r>
        <w:t>uidelines do not articulate specific supervisory expectations. They are rather aimed at helping Slovenian banks develop effective frameworks tailored to their strategic needs and individual capacities. The task at hand was to distil best practice by banks and their supervisors into a set of normative statements</w:t>
      </w:r>
      <w:r w:rsidR="00F25712">
        <w:t xml:space="preserve"> </w:t>
      </w:r>
      <w:r>
        <w:t xml:space="preserve">(followed by a more detailed explanation and examples) that can be used by individual </w:t>
      </w:r>
      <w:r w:rsidR="00DF0EC7">
        <w:t>bank</w:t>
      </w:r>
      <w:r>
        <w:t>s to tailor their RAF and RAS</w:t>
      </w:r>
      <w:r w:rsidR="00F25712">
        <w:t>.</w:t>
      </w:r>
    </w:p>
    <w:p w:rsidR="003C56E1" w:rsidRDefault="003C56E1" w:rsidP="003C56E1">
      <w:pPr>
        <w:pStyle w:val="NeAdnumber-level1"/>
      </w:pPr>
      <w:r>
        <w:t>However, there is a set of underlying principles that underpin these guidelines and, from the BoS</w:t>
      </w:r>
      <w:r w:rsidR="00844E58">
        <w:t>’</w:t>
      </w:r>
      <w:r>
        <w:t xml:space="preserve"> perspective, will frame the supervisory assessment of RAFs in Slovenian banks</w:t>
      </w:r>
      <w:r w:rsidR="00715CFE">
        <w:t>. These principles</w:t>
      </w:r>
      <w:r>
        <w:t xml:space="preserve"> </w:t>
      </w:r>
      <w:r w:rsidR="00715CFE">
        <w:t xml:space="preserve">conform with Slovenian legislation but also </w:t>
      </w:r>
      <w:r w:rsidR="00A749C0">
        <w:t xml:space="preserve">closely </w:t>
      </w:r>
      <w:r>
        <w:t xml:space="preserve">mirror relevant supervisory expectations </w:t>
      </w:r>
      <w:r w:rsidR="00891C0F">
        <w:t>of</w:t>
      </w:r>
      <w:r>
        <w:t xml:space="preserve"> the SSM </w:t>
      </w:r>
      <w:r w:rsidR="00715CFE">
        <w:t xml:space="preserve">as well as </w:t>
      </w:r>
      <w:r w:rsidR="00844E58">
        <w:t xml:space="preserve">additional </w:t>
      </w:r>
      <w:r w:rsidR="00715CFE">
        <w:t xml:space="preserve">regulatory guidance, notably </w:t>
      </w:r>
      <w:r w:rsidR="00891C0F">
        <w:t xml:space="preserve">from </w:t>
      </w:r>
      <w:r w:rsidR="00715CFE">
        <w:t>the EBA</w:t>
      </w:r>
      <w:r>
        <w:t xml:space="preserve">. </w:t>
      </w:r>
    </w:p>
    <w:p w:rsidR="003C56E1" w:rsidRPr="00526621" w:rsidRDefault="00715CFE" w:rsidP="003C56E1">
      <w:pPr>
        <w:pStyle w:val="NeAdnumber-level1"/>
      </w:pPr>
      <w:r>
        <w:t xml:space="preserve">The key underlying principles </w:t>
      </w:r>
      <w:r w:rsidR="00891C0F">
        <w:t>are</w:t>
      </w:r>
      <w:r>
        <w:t xml:space="preserve"> </w:t>
      </w:r>
      <w:r w:rsidR="00891C0F">
        <w:t>summarised below</w:t>
      </w:r>
      <w:r>
        <w:t xml:space="preserve"> as a set of general expectations. </w:t>
      </w:r>
      <w:r w:rsidR="00E1014A">
        <w:t>Well-developed</w:t>
      </w:r>
      <w:r>
        <w:t xml:space="preserve"> RAFs should provide</w:t>
      </w:r>
      <w:r w:rsidR="003C56E1">
        <w:t>:</w:t>
      </w:r>
    </w:p>
    <w:p w:rsidR="003C56E1" w:rsidRPr="00B521EC" w:rsidRDefault="003C56E1" w:rsidP="003C56E1">
      <w:pPr>
        <w:pStyle w:val="NeAdnumber-level2"/>
      </w:pPr>
      <w:r>
        <w:t>St</w:t>
      </w:r>
      <w:r w:rsidRPr="00B521EC">
        <w:t>rategic and tactical tool</w:t>
      </w:r>
      <w:r>
        <w:t>s</w:t>
      </w:r>
      <w:r w:rsidRPr="00B521EC">
        <w:t xml:space="preserve"> for</w:t>
      </w:r>
      <w:r>
        <w:t xml:space="preserve"> defining </w:t>
      </w:r>
      <w:r w:rsidRPr="00DF2494">
        <w:t xml:space="preserve">the levels of risk </w:t>
      </w:r>
      <w:r>
        <w:t>banks are</w:t>
      </w:r>
      <w:r w:rsidRPr="00DF2494">
        <w:t xml:space="preserve"> willing to assume</w:t>
      </w:r>
      <w:r>
        <w:t xml:space="preserve"> in pursuit of their strategy and </w:t>
      </w:r>
      <w:r w:rsidR="006151FC">
        <w:t xml:space="preserve">when </w:t>
      </w:r>
      <w:r>
        <w:t>operationalising their business objectives</w:t>
      </w:r>
      <w:r w:rsidRPr="00DF2494">
        <w:t>;</w:t>
      </w:r>
    </w:p>
    <w:p w:rsidR="003C56E1" w:rsidRPr="00B521EC" w:rsidRDefault="003C56E1" w:rsidP="003C56E1">
      <w:pPr>
        <w:pStyle w:val="NeAdnumber-level2"/>
      </w:pPr>
      <w:r w:rsidRPr="00B521EC">
        <w:t>A</w:t>
      </w:r>
      <w:r w:rsidR="00715CFE">
        <w:t xml:space="preserve"> platform for addressing</w:t>
      </w:r>
      <w:r w:rsidRPr="00B521EC">
        <w:t xml:space="preserve"> all material risks taken</w:t>
      </w:r>
      <w:r>
        <w:t>,</w:t>
      </w:r>
      <w:r w:rsidRPr="00B521EC">
        <w:t xml:space="preserve"> </w:t>
      </w:r>
      <w:r>
        <w:t xml:space="preserve">at the level of the </w:t>
      </w:r>
      <w:r w:rsidR="007F69F2">
        <w:t>bank</w:t>
      </w:r>
      <w:r w:rsidR="00715CFE">
        <w:t xml:space="preserve"> as a whole</w:t>
      </w:r>
      <w:r>
        <w:t xml:space="preserve"> as well as </w:t>
      </w:r>
      <w:r w:rsidR="007824AD">
        <w:t xml:space="preserve">for </w:t>
      </w:r>
      <w:r>
        <w:t>different business lines</w:t>
      </w:r>
      <w:r w:rsidRPr="00B521EC">
        <w:t>;</w:t>
      </w:r>
    </w:p>
    <w:p w:rsidR="003C56E1" w:rsidRDefault="00A21A45" w:rsidP="003C56E1">
      <w:pPr>
        <w:pStyle w:val="NeAdnumber-level2"/>
      </w:pPr>
      <w:r>
        <w:t>A mechanism to engage</w:t>
      </w:r>
      <w:r w:rsidR="003C56E1" w:rsidRPr="00B521EC">
        <w:t xml:space="preserve"> the </w:t>
      </w:r>
      <w:r w:rsidR="003C56E1">
        <w:t>Supervisory Board</w:t>
      </w:r>
      <w:r w:rsidR="003C56E1">
        <w:rPr>
          <w:rStyle w:val="Sprotnaopomba-sklic"/>
        </w:rPr>
        <w:footnoteReference w:id="5"/>
      </w:r>
      <w:r w:rsidR="003C56E1">
        <w:t xml:space="preserve"> </w:t>
      </w:r>
      <w:r w:rsidR="007824AD">
        <w:t xml:space="preserve">(SB) </w:t>
      </w:r>
      <w:r w:rsidR="003C56E1" w:rsidRPr="00B521EC">
        <w:t xml:space="preserve">in </w:t>
      </w:r>
      <w:r w:rsidR="00715CFE">
        <w:t>developing a risk-</w:t>
      </w:r>
      <w:r w:rsidR="007824AD">
        <w:t>conscious</w:t>
      </w:r>
      <w:r w:rsidR="00715CFE">
        <w:t xml:space="preserve"> strategy</w:t>
      </w:r>
      <w:r w:rsidR="005C2FC7">
        <w:t xml:space="preserve"> and</w:t>
      </w:r>
      <w:r w:rsidR="00715CFE">
        <w:t xml:space="preserve"> </w:t>
      </w:r>
      <w:r w:rsidR="006151FC">
        <w:t xml:space="preserve">in </w:t>
      </w:r>
      <w:r w:rsidR="00715CFE">
        <w:t xml:space="preserve">capital </w:t>
      </w:r>
      <w:r w:rsidR="000E44AF">
        <w:t xml:space="preserve">planning and </w:t>
      </w:r>
      <w:r w:rsidR="00715CFE">
        <w:t>allocation</w:t>
      </w:r>
      <w:r w:rsidR="005C2FC7">
        <w:t>;</w:t>
      </w:r>
    </w:p>
    <w:p w:rsidR="008C52DC" w:rsidRPr="00B521EC" w:rsidRDefault="008C52DC" w:rsidP="003C56E1">
      <w:pPr>
        <w:pStyle w:val="NeAdnumber-level2"/>
      </w:pPr>
      <w:r>
        <w:t>A mechanism to engage management at every level of the bank in implementing the bank’s risk-conscious strategy;</w:t>
      </w:r>
    </w:p>
    <w:p w:rsidR="003C56E1" w:rsidRPr="00B521EC" w:rsidRDefault="000E44AF" w:rsidP="003C56E1">
      <w:pPr>
        <w:pStyle w:val="NeAdnumber-level2"/>
      </w:pPr>
      <w:r>
        <w:t>The</w:t>
      </w:r>
      <w:r w:rsidR="003C56E1">
        <w:t xml:space="preserve"> a</w:t>
      </w:r>
      <w:r w:rsidR="003C56E1" w:rsidRPr="00B521EC">
        <w:t xml:space="preserve">bility </w:t>
      </w:r>
      <w:r w:rsidR="003C56E1">
        <w:t>to measure, monitor, and adjust</w:t>
      </w:r>
      <w:r w:rsidR="003C56E1" w:rsidRPr="00B521EC">
        <w:t xml:space="preserve"> as necessary the actual risk positions against </w:t>
      </w:r>
      <w:r w:rsidR="003C56E1">
        <w:t xml:space="preserve">the established </w:t>
      </w:r>
      <w:r w:rsidR="00CA651B">
        <w:t>RAP</w:t>
      </w:r>
      <w:r w:rsidR="003C56E1" w:rsidRPr="00B521EC">
        <w:t>; and</w:t>
      </w:r>
    </w:p>
    <w:p w:rsidR="003C56E1" w:rsidRDefault="003C56E1" w:rsidP="003C56E1">
      <w:pPr>
        <w:pStyle w:val="NeAdnumber-level2"/>
      </w:pPr>
      <w:r w:rsidRPr="00B521EC">
        <w:t>A foundation for communication among internal and</w:t>
      </w:r>
      <w:r>
        <w:t xml:space="preserve">, </w:t>
      </w:r>
      <w:r w:rsidR="00715CFE">
        <w:t>as necessary</w:t>
      </w:r>
      <w:r>
        <w:t>,</w:t>
      </w:r>
      <w:r w:rsidRPr="00B521EC">
        <w:t xml:space="preserve"> external stakeholders, promoting a shared </w:t>
      </w:r>
      <w:r w:rsidR="00715CFE">
        <w:t>risk language</w:t>
      </w:r>
      <w:r w:rsidRPr="00B521EC">
        <w:t xml:space="preserve"> and fostering a common risk culture.</w:t>
      </w:r>
    </w:p>
    <w:p w:rsidR="003C56E1" w:rsidRPr="004F4A66" w:rsidRDefault="003C56E1" w:rsidP="003C56E1">
      <w:pPr>
        <w:pStyle w:val="NeAdnumber-level1"/>
        <w:rPr>
          <w:szCs w:val="21"/>
          <w:lang w:val="en-US"/>
        </w:rPr>
      </w:pPr>
      <w:r>
        <w:t>Based on these principles,</w:t>
      </w:r>
      <w:r w:rsidR="000E44AF">
        <w:t xml:space="preserve"> </w:t>
      </w:r>
      <w:r w:rsidR="00E1014A">
        <w:t xml:space="preserve">the </w:t>
      </w:r>
      <w:r w:rsidR="000E44AF">
        <w:t>BoS expects Slovenian banks to always</w:t>
      </w:r>
      <w:r w:rsidR="002B301E">
        <w:t xml:space="preserve"> be</w:t>
      </w:r>
      <w:r w:rsidR="000E44AF">
        <w:t xml:space="preserve"> </w:t>
      </w:r>
      <w:r w:rsidR="002B301E">
        <w:t>prepared</w:t>
      </w:r>
      <w:r w:rsidR="000E44AF">
        <w:t xml:space="preserve"> to respond to the following queries:</w:t>
      </w:r>
    </w:p>
    <w:p w:rsidR="003C56E1" w:rsidRPr="002D69BD" w:rsidRDefault="003C56E1" w:rsidP="003C56E1">
      <w:pPr>
        <w:pStyle w:val="NeAdnumber-level2"/>
        <w:rPr>
          <w:szCs w:val="21"/>
          <w:lang w:val="en-US"/>
        </w:rPr>
      </w:pPr>
      <w:r>
        <w:t xml:space="preserve">Does a RAF </w:t>
      </w:r>
      <w:r w:rsidRPr="002D69BD">
        <w:rPr>
          <w:i/>
        </w:rPr>
        <w:t>exist</w:t>
      </w:r>
      <w:r>
        <w:rPr>
          <w:i/>
        </w:rPr>
        <w:t>?</w:t>
      </w:r>
      <w:r>
        <w:t xml:space="preserve"> Is the documentation complete, comprehensive, and coherent?</w:t>
      </w:r>
    </w:p>
    <w:p w:rsidR="003C56E1" w:rsidRPr="002D69BD" w:rsidRDefault="003C56E1" w:rsidP="003C56E1">
      <w:pPr>
        <w:pStyle w:val="NeAdnumber-level2"/>
        <w:rPr>
          <w:szCs w:val="21"/>
          <w:lang w:val="en-US"/>
        </w:rPr>
      </w:pPr>
      <w:r>
        <w:t xml:space="preserve">Is the RAF </w:t>
      </w:r>
      <w:r w:rsidRPr="002D69BD">
        <w:rPr>
          <w:i/>
        </w:rPr>
        <w:t>evolving</w:t>
      </w:r>
      <w:r>
        <w:rPr>
          <w:i/>
        </w:rPr>
        <w:t>?</w:t>
      </w:r>
      <w:r>
        <w:t xml:space="preserve"> Is it regularly reviewed and adjusted to </w:t>
      </w:r>
      <w:r w:rsidR="000E44AF">
        <w:t xml:space="preserve">the </w:t>
      </w:r>
      <w:r>
        <w:t>changing business environment and the bank's business strategy?</w:t>
      </w:r>
    </w:p>
    <w:p w:rsidR="003C56E1" w:rsidRPr="002D69BD" w:rsidRDefault="003C56E1" w:rsidP="003C56E1">
      <w:pPr>
        <w:pStyle w:val="NeAdnumber-level2"/>
        <w:rPr>
          <w:szCs w:val="21"/>
          <w:lang w:val="en-US"/>
        </w:rPr>
      </w:pPr>
      <w:r>
        <w:rPr>
          <w:szCs w:val="21"/>
        </w:rPr>
        <w:t xml:space="preserve">Is there </w:t>
      </w:r>
      <w:r w:rsidRPr="002D69BD">
        <w:rPr>
          <w:i/>
          <w:szCs w:val="21"/>
        </w:rPr>
        <w:t>evidence</w:t>
      </w:r>
      <w:r>
        <w:rPr>
          <w:szCs w:val="21"/>
        </w:rPr>
        <w:t xml:space="preserve"> of robust challenge of the RAF by the bank’s</w:t>
      </w:r>
      <w:r w:rsidR="000E44AF">
        <w:rPr>
          <w:szCs w:val="21"/>
        </w:rPr>
        <w:t xml:space="preserve"> management and </w:t>
      </w:r>
      <w:r>
        <w:rPr>
          <w:szCs w:val="21"/>
        </w:rPr>
        <w:t>supervisory function?</w:t>
      </w:r>
    </w:p>
    <w:p w:rsidR="003C56E1" w:rsidRPr="002D69BD" w:rsidRDefault="003C56E1" w:rsidP="003C56E1">
      <w:pPr>
        <w:pStyle w:val="NeAdnumber-level2"/>
        <w:rPr>
          <w:szCs w:val="21"/>
          <w:lang w:val="en-US"/>
        </w:rPr>
      </w:pPr>
      <w:r>
        <w:t xml:space="preserve">Is the RAF </w:t>
      </w:r>
      <w:r w:rsidRPr="002D69BD">
        <w:rPr>
          <w:i/>
        </w:rPr>
        <w:t>embedded</w:t>
      </w:r>
      <w:r>
        <w:t xml:space="preserve"> within the bank, rather than simply "announced"? </w:t>
      </w:r>
    </w:p>
    <w:p w:rsidR="003C56E1" w:rsidRDefault="003C56E1" w:rsidP="003C56E1">
      <w:pPr>
        <w:pStyle w:val="NeAdnumber-level2"/>
      </w:pPr>
      <w:r>
        <w:t xml:space="preserve">Is the RAF </w:t>
      </w:r>
      <w:r w:rsidRPr="002D69BD">
        <w:rPr>
          <w:i/>
        </w:rPr>
        <w:t>effective</w:t>
      </w:r>
      <w:r>
        <w:t xml:space="preserve"> in guiding the everyday running of the bank and key decision-making processes, including selling existing products,</w:t>
      </w:r>
      <w:r w:rsidRPr="00D8200A">
        <w:t xml:space="preserve"> </w:t>
      </w:r>
      <w:r w:rsidR="006151FC">
        <w:t xml:space="preserve">introducing existing products to new customer segments, </w:t>
      </w:r>
      <w:r>
        <w:t xml:space="preserve">approving new products, concluding outsourcing agreements, or </w:t>
      </w:r>
      <w:r w:rsidR="000E44AF">
        <w:t xml:space="preserve">pursuing </w:t>
      </w:r>
      <w:r>
        <w:t>M&amp;A</w:t>
      </w:r>
      <w:r w:rsidRPr="00D8200A">
        <w:t xml:space="preserve">? </w:t>
      </w:r>
    </w:p>
    <w:p w:rsidR="00F2517D" w:rsidRDefault="00F2517D" w:rsidP="00F2517D">
      <w:pPr>
        <w:pStyle w:val="NeAdnumber-level1"/>
      </w:pPr>
      <w:r>
        <w:t xml:space="preserve">Banks should be </w:t>
      </w:r>
      <w:r w:rsidR="00864A29">
        <w:t xml:space="preserve">ready to provide memorialised evidence </w:t>
      </w:r>
      <w:r w:rsidR="00ED3BAC">
        <w:t>regarding</w:t>
      </w:r>
      <w:r w:rsidR="00864A29">
        <w:t xml:space="preserve"> the points listed above.</w:t>
      </w:r>
    </w:p>
    <w:p w:rsidR="00DE04C1" w:rsidRDefault="00DE04C1" w:rsidP="00970C12">
      <w:pPr>
        <w:pStyle w:val="NeAdH2"/>
        <w:keepNext/>
      </w:pPr>
      <w:bookmarkStart w:id="8" w:name="_Toc510622688"/>
      <w:r>
        <w:t>Definitions</w:t>
      </w:r>
      <w:bookmarkEnd w:id="8"/>
    </w:p>
    <w:p w:rsidR="007505E0" w:rsidRDefault="00890C71" w:rsidP="00970C12">
      <w:pPr>
        <w:pStyle w:val="NeAdnumber-level1"/>
        <w:keepNext/>
      </w:pPr>
      <w:r>
        <w:t xml:space="preserve">In the interest of </w:t>
      </w:r>
      <w:r w:rsidR="00FB6F31">
        <w:t>providing actionable and practical guidelines</w:t>
      </w:r>
      <w:r w:rsidR="00E1014A">
        <w:t>,</w:t>
      </w:r>
      <w:r w:rsidR="000E44AF">
        <w:t xml:space="preserve"> and to avoid confusion</w:t>
      </w:r>
      <w:r w:rsidR="002D5893">
        <w:t xml:space="preserve">, </w:t>
      </w:r>
      <w:r w:rsidR="00104EC7">
        <w:t>the most important definitions</w:t>
      </w:r>
      <w:r w:rsidR="00A615F8">
        <w:t xml:space="preserve"> </w:t>
      </w:r>
      <w:r w:rsidR="004D36CB">
        <w:t xml:space="preserve">used throughout the present document </w:t>
      </w:r>
      <w:r w:rsidR="000E44AF">
        <w:t xml:space="preserve">are listed </w:t>
      </w:r>
      <w:r w:rsidR="0020673D">
        <w:t xml:space="preserve">below. </w:t>
      </w:r>
      <w:r w:rsidR="000E44AF">
        <w:t xml:space="preserve">They are based on the </w:t>
      </w:r>
      <w:r w:rsidR="000E44AF" w:rsidRPr="009163E8">
        <w:t xml:space="preserve">FSB’s </w:t>
      </w:r>
      <w:r w:rsidR="000E44AF" w:rsidRPr="007505E0">
        <w:rPr>
          <w:i/>
        </w:rPr>
        <w:t>Principles for An Effective Risk Appetite Framework</w:t>
      </w:r>
      <w:r w:rsidR="00F124B0" w:rsidRPr="009163E8">
        <w:rPr>
          <w:vertAlign w:val="superscript"/>
        </w:rPr>
        <w:footnoteReference w:id="6"/>
      </w:r>
      <w:r w:rsidR="00F42410">
        <w:t xml:space="preserve"> and </w:t>
      </w:r>
      <w:r w:rsidR="00F42410" w:rsidRPr="00F42410">
        <w:t xml:space="preserve">the </w:t>
      </w:r>
      <w:r w:rsidR="00F42410" w:rsidRPr="00963A48">
        <w:rPr>
          <w:i/>
        </w:rPr>
        <w:t>CRD IV</w:t>
      </w:r>
      <w:r w:rsidR="00F42410" w:rsidRPr="00F42410">
        <w:t xml:space="preserve"> </w:t>
      </w:r>
      <w:r w:rsidR="00F42410">
        <w:t>framework</w:t>
      </w:r>
      <w:r w:rsidR="00F42410">
        <w:rPr>
          <w:rStyle w:val="Sprotnaopomba-sklic"/>
        </w:rPr>
        <w:footnoteReference w:id="7"/>
      </w:r>
      <w:r w:rsidR="00F42410">
        <w:t xml:space="preserve"> </w:t>
      </w:r>
      <w:r w:rsidR="000E44AF" w:rsidRPr="007505E0">
        <w:rPr>
          <w:i/>
        </w:rPr>
        <w:t xml:space="preserve">, </w:t>
      </w:r>
      <w:r w:rsidR="000E44AF">
        <w:t>with minor</w:t>
      </w:r>
      <w:r w:rsidR="000E44AF" w:rsidRPr="009163E8">
        <w:t xml:space="preserve"> additions to cover all elements of </w:t>
      </w:r>
      <w:r w:rsidR="000E44AF">
        <w:t>the project</w:t>
      </w:r>
      <w:r w:rsidR="000E44AF" w:rsidRPr="009163E8">
        <w:t>:</w:t>
      </w:r>
    </w:p>
    <w:tbl>
      <w:tblPr>
        <w:tblStyle w:val="Tabelamrea"/>
        <w:tblW w:w="0" w:type="auto"/>
        <w:tblInd w:w="-147" w:type="dxa"/>
        <w:tblLook w:val="04A0" w:firstRow="1" w:lastRow="0" w:firstColumn="1" w:lastColumn="0" w:noHBand="0" w:noVBand="1"/>
      </w:tblPr>
      <w:tblGrid>
        <w:gridCol w:w="8642"/>
      </w:tblGrid>
      <w:tr w:rsidR="00DE2C32" w:rsidTr="00250A41">
        <w:trPr>
          <w:trHeight w:val="1625"/>
        </w:trPr>
        <w:tc>
          <w:tcPr>
            <w:tcW w:w="8642" w:type="dxa"/>
            <w:shd w:val="clear" w:color="auto" w:fill="B4C6E7" w:themeFill="accent1" w:themeFillTint="66"/>
          </w:tcPr>
          <w:p w:rsidR="00DE2C32" w:rsidRPr="00DE2C32" w:rsidRDefault="00DE2C32" w:rsidP="00250A41">
            <w:pPr>
              <w:pStyle w:val="NeAdnumber-level1"/>
              <w:keepNext/>
              <w:numPr>
                <w:ilvl w:val="0"/>
                <w:numId w:val="0"/>
              </w:numPr>
              <w:rPr>
                <w:b/>
                <w:i/>
                <w:u w:val="single"/>
              </w:rPr>
            </w:pPr>
            <w:r w:rsidRPr="00DE2C32">
              <w:rPr>
                <w:b/>
                <w:i/>
                <w:u w:val="single"/>
              </w:rPr>
              <w:t>Bank:</w:t>
            </w:r>
          </w:p>
          <w:p w:rsidR="00DE2C32" w:rsidRPr="00F42410" w:rsidRDefault="00EF621D" w:rsidP="00250A41">
            <w:pPr>
              <w:pStyle w:val="NeAdnumber-level1"/>
              <w:keepNext/>
              <w:numPr>
                <w:ilvl w:val="0"/>
                <w:numId w:val="0"/>
              </w:numPr>
              <w:rPr>
                <w:b/>
                <w:i/>
                <w:u w:val="single"/>
              </w:rPr>
            </w:pPr>
            <w:r w:rsidRPr="00F42410">
              <w:rPr>
                <w:i/>
              </w:rPr>
              <w:t>A</w:t>
            </w:r>
            <w:r w:rsidR="00DE2C32" w:rsidRPr="00F42410">
              <w:rPr>
                <w:i/>
              </w:rPr>
              <w:t xml:space="preserve"> credit institution as defined</w:t>
            </w:r>
            <w:r w:rsidR="00DE2C32" w:rsidRPr="00F42410">
              <w:rPr>
                <w:b/>
                <w:i/>
              </w:rPr>
              <w:t xml:space="preserve"> </w:t>
            </w:r>
            <w:r w:rsidR="00DE2C32" w:rsidRPr="00F42410">
              <w:rPr>
                <w:i/>
              </w:rPr>
              <w:t>in</w:t>
            </w:r>
            <w:r w:rsidR="00DE2C32" w:rsidRPr="00F42410">
              <w:rPr>
                <w:b/>
                <w:i/>
              </w:rPr>
              <w:t xml:space="preserve"> </w:t>
            </w:r>
            <w:r w:rsidR="00DE2C32" w:rsidRPr="00F42410">
              <w:rPr>
                <w:i/>
              </w:rPr>
              <w:t>point (1) of Article 4(1) of Regulation (EU) No 575/2013: an undertaking the business of which is to take deposits or other repayable funds from the public and to grant credits for its own account.</w:t>
            </w:r>
          </w:p>
        </w:tc>
      </w:tr>
      <w:tr w:rsidR="00CF3140" w:rsidTr="00250A41">
        <w:trPr>
          <w:trHeight w:val="1625"/>
        </w:trPr>
        <w:tc>
          <w:tcPr>
            <w:tcW w:w="8642" w:type="dxa"/>
            <w:shd w:val="clear" w:color="auto" w:fill="B4C6E7" w:themeFill="accent1" w:themeFillTint="66"/>
          </w:tcPr>
          <w:p w:rsidR="00CF3140" w:rsidRDefault="00CF3140" w:rsidP="00824281">
            <w:pPr>
              <w:pStyle w:val="NeAdnumber-level1"/>
              <w:keepNext/>
              <w:numPr>
                <w:ilvl w:val="0"/>
                <w:numId w:val="0"/>
              </w:numPr>
              <w:rPr>
                <w:b/>
                <w:i/>
                <w:u w:val="single"/>
              </w:rPr>
            </w:pPr>
            <w:r>
              <w:rPr>
                <w:b/>
                <w:i/>
                <w:u w:val="single"/>
              </w:rPr>
              <w:t>Risk Culture</w:t>
            </w:r>
            <w:r w:rsidR="006C66F9">
              <w:rPr>
                <w:b/>
                <w:i/>
                <w:u w:val="single"/>
              </w:rPr>
              <w:t>:</w:t>
            </w:r>
          </w:p>
          <w:p w:rsidR="00D87D03" w:rsidRPr="00C445CA" w:rsidRDefault="00D74870" w:rsidP="00824281">
            <w:pPr>
              <w:pStyle w:val="NeAdnumber-level1"/>
              <w:keepNext/>
              <w:numPr>
                <w:ilvl w:val="0"/>
                <w:numId w:val="0"/>
              </w:numPr>
              <w:rPr>
                <w:i/>
              </w:rPr>
            </w:pPr>
            <w:r w:rsidRPr="00D74870">
              <w:rPr>
                <w:i/>
              </w:rPr>
              <w:t xml:space="preserve">A bank’s norms, attitudes and behaviours related to risk awareness, risk-taking and risk management, that shape decisions on risks. </w:t>
            </w:r>
          </w:p>
        </w:tc>
      </w:tr>
      <w:tr w:rsidR="00DE2C32" w:rsidTr="00250A41">
        <w:trPr>
          <w:trHeight w:val="1625"/>
        </w:trPr>
        <w:tc>
          <w:tcPr>
            <w:tcW w:w="8642" w:type="dxa"/>
            <w:shd w:val="clear" w:color="auto" w:fill="B4C6E7" w:themeFill="accent1" w:themeFillTint="66"/>
          </w:tcPr>
          <w:p w:rsidR="00DE2C32" w:rsidRPr="00074B70" w:rsidRDefault="00DE2C32" w:rsidP="00DE2C32">
            <w:pPr>
              <w:pStyle w:val="NeAdnumber-level1"/>
              <w:keepNext/>
              <w:numPr>
                <w:ilvl w:val="0"/>
                <w:numId w:val="0"/>
              </w:numPr>
              <w:rPr>
                <w:b/>
                <w:i/>
                <w:u w:val="single"/>
              </w:rPr>
            </w:pPr>
            <w:r w:rsidRPr="00074B70">
              <w:rPr>
                <w:b/>
                <w:i/>
                <w:u w:val="single"/>
              </w:rPr>
              <w:t>Risk Appetite</w:t>
            </w:r>
            <w:r>
              <w:rPr>
                <w:b/>
                <w:i/>
                <w:u w:val="single"/>
              </w:rPr>
              <w:t xml:space="preserve"> (RAP)</w:t>
            </w:r>
            <w:r w:rsidRPr="00074B70">
              <w:rPr>
                <w:b/>
                <w:i/>
                <w:u w:val="single"/>
              </w:rPr>
              <w:t>:</w:t>
            </w:r>
          </w:p>
          <w:p w:rsidR="00DE2C32" w:rsidRDefault="00DE2C32" w:rsidP="00DE2C32">
            <w:pPr>
              <w:pStyle w:val="NeAdnumber-level1"/>
              <w:keepNext/>
              <w:numPr>
                <w:ilvl w:val="0"/>
                <w:numId w:val="0"/>
              </w:numPr>
            </w:pPr>
            <w:r w:rsidRPr="00074B70">
              <w:rPr>
                <w:i/>
              </w:rPr>
              <w:t xml:space="preserve">The aggregate level and types of risk a </w:t>
            </w:r>
            <w:r w:rsidR="00DF0EC7">
              <w:rPr>
                <w:i/>
              </w:rPr>
              <w:t>bank</w:t>
            </w:r>
            <w:r w:rsidRPr="00074B70">
              <w:rPr>
                <w:i/>
              </w:rPr>
              <w:t xml:space="preserve"> is willing to assume within its risk capacity to achieve its strategic objectives and business plan.</w:t>
            </w:r>
          </w:p>
        </w:tc>
      </w:tr>
      <w:tr w:rsidR="00C5671A" w:rsidTr="00250A41">
        <w:trPr>
          <w:trHeight w:val="1809"/>
        </w:trPr>
        <w:tc>
          <w:tcPr>
            <w:tcW w:w="8642" w:type="dxa"/>
            <w:shd w:val="clear" w:color="auto" w:fill="B4C6E7" w:themeFill="accent1" w:themeFillTint="66"/>
          </w:tcPr>
          <w:p w:rsidR="006D2F8C" w:rsidRPr="00824281" w:rsidRDefault="00C5671A" w:rsidP="00250A41">
            <w:pPr>
              <w:pStyle w:val="NeAdnumber-level1"/>
              <w:numPr>
                <w:ilvl w:val="0"/>
                <w:numId w:val="0"/>
              </w:numPr>
              <w:rPr>
                <w:b/>
                <w:u w:val="single"/>
              </w:rPr>
            </w:pPr>
            <w:bookmarkStart w:id="9" w:name="_Hlk497214592"/>
            <w:r w:rsidRPr="00074B70">
              <w:rPr>
                <w:b/>
                <w:i/>
                <w:u w:val="single"/>
              </w:rPr>
              <w:t xml:space="preserve">Risk </w:t>
            </w:r>
            <w:r>
              <w:rPr>
                <w:b/>
                <w:i/>
                <w:u w:val="single"/>
              </w:rPr>
              <w:t>Capacity</w:t>
            </w:r>
            <w:r w:rsidRPr="00074B70">
              <w:rPr>
                <w:b/>
                <w:i/>
                <w:u w:val="single"/>
              </w:rPr>
              <w:t>:</w:t>
            </w:r>
          </w:p>
          <w:p w:rsidR="00C5671A" w:rsidRPr="00B63F3A" w:rsidRDefault="00C5671A" w:rsidP="009E50B3">
            <w:pPr>
              <w:pStyle w:val="NeAdnumber-level1"/>
              <w:numPr>
                <w:ilvl w:val="0"/>
                <w:numId w:val="0"/>
              </w:numPr>
              <w:rPr>
                <w:i/>
              </w:rPr>
            </w:pPr>
            <w:r w:rsidRPr="00CC4664">
              <w:rPr>
                <w:i/>
              </w:rPr>
              <w:t xml:space="preserve">The maximum level of risk the </w:t>
            </w:r>
            <w:r w:rsidR="00DF0EC7">
              <w:rPr>
                <w:i/>
              </w:rPr>
              <w:t>bank</w:t>
            </w:r>
            <w:r w:rsidRPr="00CC4664">
              <w:rPr>
                <w:i/>
              </w:rPr>
              <w:t xml:space="preserve"> can assume given its current level of resources before breaching constraints determined by regulatory capital and liquidity needs, the operational environment (e.g. technical infrastructure, risk management capabilities, expertise) and </w:t>
            </w:r>
            <w:r w:rsidR="00F442EE">
              <w:rPr>
                <w:i/>
              </w:rPr>
              <w:t xml:space="preserve">its </w:t>
            </w:r>
            <w:r w:rsidRPr="00CC4664">
              <w:rPr>
                <w:i/>
              </w:rPr>
              <w:t xml:space="preserve">obligations to depositors, policyholders, shareholders, fixed income investors, as well as other customers and </w:t>
            </w:r>
            <w:r w:rsidR="00F442EE">
              <w:rPr>
                <w:i/>
              </w:rPr>
              <w:t xml:space="preserve">other </w:t>
            </w:r>
            <w:r w:rsidRPr="00CC4664">
              <w:rPr>
                <w:i/>
              </w:rPr>
              <w:t>stakeholders</w:t>
            </w:r>
            <w:r w:rsidRPr="00074B70">
              <w:rPr>
                <w:i/>
              </w:rPr>
              <w:t>.</w:t>
            </w:r>
            <w:r w:rsidR="00C33DD4">
              <w:rPr>
                <w:i/>
              </w:rPr>
              <w:t xml:space="preserve"> </w:t>
            </w:r>
          </w:p>
        </w:tc>
      </w:tr>
      <w:bookmarkEnd w:id="9"/>
      <w:tr w:rsidR="00C5671A" w:rsidTr="007F3695">
        <w:trPr>
          <w:trHeight w:val="841"/>
        </w:trPr>
        <w:tc>
          <w:tcPr>
            <w:tcW w:w="8642" w:type="dxa"/>
            <w:shd w:val="clear" w:color="auto" w:fill="B4C6E7" w:themeFill="accent1" w:themeFillTint="66"/>
          </w:tcPr>
          <w:p w:rsidR="00C5671A" w:rsidRPr="00074B70" w:rsidRDefault="00C5671A" w:rsidP="00250A41">
            <w:pPr>
              <w:pStyle w:val="NeAdnumber-level1"/>
              <w:numPr>
                <w:ilvl w:val="0"/>
                <w:numId w:val="0"/>
              </w:numPr>
              <w:rPr>
                <w:b/>
                <w:i/>
                <w:u w:val="single"/>
              </w:rPr>
            </w:pPr>
            <w:r w:rsidRPr="00074B70">
              <w:rPr>
                <w:b/>
                <w:i/>
                <w:u w:val="single"/>
              </w:rPr>
              <w:t xml:space="preserve">Risk </w:t>
            </w:r>
            <w:r>
              <w:rPr>
                <w:b/>
                <w:i/>
                <w:u w:val="single"/>
              </w:rPr>
              <w:t>Appetite Framework</w:t>
            </w:r>
            <w:r w:rsidR="00FC6C68">
              <w:rPr>
                <w:b/>
                <w:i/>
                <w:u w:val="single"/>
              </w:rPr>
              <w:t xml:space="preserve"> (RAF)</w:t>
            </w:r>
            <w:r w:rsidRPr="00074B70">
              <w:rPr>
                <w:b/>
                <w:i/>
                <w:u w:val="single"/>
              </w:rPr>
              <w:t>:</w:t>
            </w:r>
          </w:p>
          <w:p w:rsidR="00C5671A" w:rsidRPr="00DF5C94" w:rsidRDefault="00C5671A" w:rsidP="009E50B3">
            <w:pPr>
              <w:pStyle w:val="NeAdnumber-level1"/>
              <w:numPr>
                <w:ilvl w:val="0"/>
                <w:numId w:val="0"/>
              </w:numPr>
              <w:rPr>
                <w:b/>
              </w:rPr>
            </w:pPr>
            <w:r w:rsidRPr="00180010">
              <w:rPr>
                <w:i/>
              </w:rPr>
              <w:t xml:space="preserve">The overall approach </w:t>
            </w:r>
            <w:r w:rsidR="00F442EE">
              <w:rPr>
                <w:i/>
              </w:rPr>
              <w:t>(</w:t>
            </w:r>
            <w:r w:rsidRPr="00180010">
              <w:rPr>
                <w:i/>
              </w:rPr>
              <w:t>including policies, processes, controls, and systems</w:t>
            </w:r>
            <w:r w:rsidR="00F442EE">
              <w:rPr>
                <w:i/>
              </w:rPr>
              <w:t>)</w:t>
            </w:r>
            <w:r w:rsidRPr="00180010">
              <w:rPr>
                <w:i/>
              </w:rPr>
              <w:t xml:space="preserve"> through which risk appetite is established, communicated, and monitored. It includes a risk appetite statement, risk</w:t>
            </w:r>
            <w:r>
              <w:rPr>
                <w:i/>
              </w:rPr>
              <w:t xml:space="preserve"> thresholds and</w:t>
            </w:r>
            <w:r w:rsidRPr="00180010">
              <w:rPr>
                <w:i/>
              </w:rPr>
              <w:t xml:space="preserve"> limits, and an outline of the roles and responsibilities of those overseeing the implementation and monitoring of the RAF. The RAF should consider material risks to the </w:t>
            </w:r>
            <w:r w:rsidR="00DF0EC7">
              <w:rPr>
                <w:i/>
              </w:rPr>
              <w:t>bank</w:t>
            </w:r>
            <w:r w:rsidRPr="00180010">
              <w:rPr>
                <w:i/>
              </w:rPr>
              <w:t xml:space="preserve">, as well as to the </w:t>
            </w:r>
            <w:r w:rsidR="00DF0EC7">
              <w:rPr>
                <w:i/>
              </w:rPr>
              <w:t>bank</w:t>
            </w:r>
            <w:r w:rsidRPr="00180010">
              <w:rPr>
                <w:i/>
              </w:rPr>
              <w:t>’s reputation vis-à-vis policyholders, depositors, investors and customers.</w:t>
            </w:r>
            <w:r w:rsidR="00964F64">
              <w:rPr>
                <w:i/>
              </w:rPr>
              <w:t xml:space="preserve"> </w:t>
            </w:r>
            <w:r w:rsidR="00FE363A">
              <w:rPr>
                <w:i/>
              </w:rPr>
              <w:t>It is reviewed regularly</w:t>
            </w:r>
            <w:r w:rsidR="00405C5B">
              <w:rPr>
                <w:i/>
              </w:rPr>
              <w:t>.</w:t>
            </w:r>
          </w:p>
        </w:tc>
      </w:tr>
      <w:tr w:rsidR="00C5671A" w:rsidTr="000425F5">
        <w:trPr>
          <w:trHeight w:val="983"/>
        </w:trPr>
        <w:tc>
          <w:tcPr>
            <w:tcW w:w="8642" w:type="dxa"/>
            <w:shd w:val="clear" w:color="auto" w:fill="B4C6E7" w:themeFill="accent1" w:themeFillTint="66"/>
          </w:tcPr>
          <w:p w:rsidR="00C5671A" w:rsidRDefault="00C5671A" w:rsidP="00250A41">
            <w:pPr>
              <w:pStyle w:val="NeAdnumber-level1"/>
              <w:numPr>
                <w:ilvl w:val="0"/>
                <w:numId w:val="0"/>
              </w:numPr>
              <w:rPr>
                <w:b/>
                <w:i/>
                <w:u w:val="single"/>
              </w:rPr>
            </w:pPr>
            <w:r w:rsidRPr="00074B70">
              <w:rPr>
                <w:b/>
                <w:i/>
                <w:u w:val="single"/>
              </w:rPr>
              <w:t>Risk Appetite</w:t>
            </w:r>
            <w:r>
              <w:rPr>
                <w:b/>
                <w:i/>
                <w:u w:val="single"/>
              </w:rPr>
              <w:t xml:space="preserve"> Statement</w:t>
            </w:r>
            <w:r w:rsidR="00FC6C68">
              <w:rPr>
                <w:b/>
                <w:i/>
                <w:u w:val="single"/>
              </w:rPr>
              <w:t xml:space="preserve"> (RAS)</w:t>
            </w:r>
            <w:r w:rsidRPr="00074B70">
              <w:rPr>
                <w:b/>
                <w:i/>
                <w:u w:val="single"/>
              </w:rPr>
              <w:t>:</w:t>
            </w:r>
          </w:p>
          <w:p w:rsidR="00C5671A" w:rsidRPr="00DF5C94" w:rsidRDefault="00C5671A" w:rsidP="00250A41">
            <w:pPr>
              <w:pStyle w:val="NeAdnumber-level1"/>
              <w:numPr>
                <w:ilvl w:val="0"/>
                <w:numId w:val="0"/>
              </w:numPr>
              <w:rPr>
                <w:b/>
              </w:rPr>
            </w:pPr>
            <w:r w:rsidRPr="00074B70">
              <w:rPr>
                <w:i/>
              </w:rPr>
              <w:t xml:space="preserve">The written form of </w:t>
            </w:r>
            <w:r w:rsidR="00FE363A">
              <w:rPr>
                <w:i/>
              </w:rPr>
              <w:t>a</w:t>
            </w:r>
            <w:r w:rsidR="00DF0EC7">
              <w:rPr>
                <w:i/>
              </w:rPr>
              <w:t xml:space="preserve"> bank</w:t>
            </w:r>
            <w:r w:rsidR="00FE363A">
              <w:rPr>
                <w:i/>
              </w:rPr>
              <w:t>’s risk appetite</w:t>
            </w:r>
            <w:r w:rsidRPr="00074B70">
              <w:rPr>
                <w:i/>
              </w:rPr>
              <w:t xml:space="preserve">. It includes qualitative statements as well as quantitative measures expressed relative to earnings, capital, risk measures, liquidity and other relevant measures as appropriate. It should also address risks </w:t>
            </w:r>
            <w:r w:rsidR="006B1BCD">
              <w:rPr>
                <w:i/>
              </w:rPr>
              <w:t xml:space="preserve">which are more difficult to quantify </w:t>
            </w:r>
            <w:r w:rsidRPr="00074B70">
              <w:rPr>
                <w:i/>
              </w:rPr>
              <w:t>such as reputation</w:t>
            </w:r>
            <w:r w:rsidR="00E1014A">
              <w:rPr>
                <w:i/>
              </w:rPr>
              <w:t>al risks</w:t>
            </w:r>
            <w:r>
              <w:rPr>
                <w:i/>
              </w:rPr>
              <w:t>, cyber</w:t>
            </w:r>
            <w:r w:rsidRPr="00074B70">
              <w:rPr>
                <w:i/>
              </w:rPr>
              <w:t xml:space="preserve"> and conduct risks</w:t>
            </w:r>
            <w:r w:rsidR="00E1014A">
              <w:rPr>
                <w:i/>
              </w:rPr>
              <w:t>,</w:t>
            </w:r>
            <w:r w:rsidRPr="00074B70">
              <w:rPr>
                <w:i/>
              </w:rPr>
              <w:t xml:space="preserve"> as well as money laundering and unethical practices</w:t>
            </w:r>
            <w:r w:rsidRPr="003660CA">
              <w:t>.</w:t>
            </w:r>
            <w:r w:rsidR="00FE363A">
              <w:t xml:space="preserve"> </w:t>
            </w:r>
            <w:r w:rsidR="00FE363A" w:rsidRPr="00193112">
              <w:rPr>
                <w:i/>
              </w:rPr>
              <w:t xml:space="preserve">It is set </w:t>
            </w:r>
            <w:r w:rsidR="00DC225C" w:rsidRPr="00193112">
              <w:rPr>
                <w:i/>
              </w:rPr>
              <w:t>on an annual basis.</w:t>
            </w:r>
          </w:p>
        </w:tc>
      </w:tr>
      <w:tr w:rsidR="00C5671A" w:rsidTr="00250A41">
        <w:trPr>
          <w:trHeight w:val="1319"/>
        </w:trPr>
        <w:tc>
          <w:tcPr>
            <w:tcW w:w="8642" w:type="dxa"/>
            <w:shd w:val="clear" w:color="auto" w:fill="B4C6E7" w:themeFill="accent1" w:themeFillTint="66"/>
          </w:tcPr>
          <w:p w:rsidR="00C5671A" w:rsidRDefault="00C5671A" w:rsidP="00250A41">
            <w:pPr>
              <w:pStyle w:val="NeAdnumber-level1"/>
              <w:numPr>
                <w:ilvl w:val="0"/>
                <w:numId w:val="0"/>
              </w:numPr>
              <w:rPr>
                <w:b/>
                <w:i/>
                <w:u w:val="single"/>
              </w:rPr>
            </w:pPr>
            <w:r w:rsidRPr="00074B70">
              <w:rPr>
                <w:b/>
                <w:i/>
                <w:u w:val="single"/>
              </w:rPr>
              <w:t xml:space="preserve">Risk </w:t>
            </w:r>
            <w:r>
              <w:rPr>
                <w:b/>
                <w:i/>
                <w:u w:val="single"/>
              </w:rPr>
              <w:t>Profile</w:t>
            </w:r>
            <w:r w:rsidRPr="00074B70">
              <w:rPr>
                <w:b/>
                <w:i/>
                <w:u w:val="single"/>
              </w:rPr>
              <w:t>:</w:t>
            </w:r>
          </w:p>
          <w:p w:rsidR="00C5671A" w:rsidRPr="00DF5C94" w:rsidRDefault="00E1014A" w:rsidP="00250A41">
            <w:pPr>
              <w:pStyle w:val="NeAdnumber-level1"/>
              <w:numPr>
                <w:ilvl w:val="0"/>
                <w:numId w:val="0"/>
              </w:numPr>
              <w:rPr>
                <w:b/>
              </w:rPr>
            </w:pPr>
            <w:r>
              <w:rPr>
                <w:i/>
              </w:rPr>
              <w:t>A p</w:t>
            </w:r>
            <w:r w:rsidR="00C5671A" w:rsidRPr="00461FC6">
              <w:rPr>
                <w:i/>
              </w:rPr>
              <w:t xml:space="preserve">oint in time assessment of the </w:t>
            </w:r>
            <w:r w:rsidR="00DF0EC7">
              <w:rPr>
                <w:i/>
              </w:rPr>
              <w:t>bank’s</w:t>
            </w:r>
            <w:r w:rsidR="00C5671A" w:rsidRPr="00461FC6">
              <w:rPr>
                <w:i/>
              </w:rPr>
              <w:t xml:space="preserve"> gross and, as appropriate, net risk exposures (after taking into account</w:t>
            </w:r>
            <w:r w:rsidR="00C5671A">
              <w:rPr>
                <w:i/>
              </w:rPr>
              <w:t xml:space="preserve"> any</w:t>
            </w:r>
            <w:r w:rsidR="00C5671A" w:rsidRPr="00461FC6">
              <w:rPr>
                <w:i/>
              </w:rPr>
              <w:t xml:space="preserve"> </w:t>
            </w:r>
            <w:r w:rsidR="00C830B3">
              <w:rPr>
                <w:i/>
              </w:rPr>
              <w:t>mitigating factors</w:t>
            </w:r>
            <w:r w:rsidR="00C5671A" w:rsidRPr="00461FC6">
              <w:rPr>
                <w:i/>
              </w:rPr>
              <w:t>) aggregated within and across each relevant risk category based on forward looking assumptions.</w:t>
            </w:r>
          </w:p>
        </w:tc>
      </w:tr>
    </w:tbl>
    <w:p w:rsidR="00EB444E" w:rsidRPr="00436E48" w:rsidRDefault="008241D1" w:rsidP="00E52DF6">
      <w:pPr>
        <w:pStyle w:val="NeAdnumber-level1"/>
      </w:pPr>
      <w:bookmarkStart w:id="10" w:name="_Toc496105671"/>
      <w:r>
        <w:t xml:space="preserve">We </w:t>
      </w:r>
      <w:r w:rsidR="0091439D">
        <w:t xml:space="preserve">also </w:t>
      </w:r>
      <w:r>
        <w:t>define</w:t>
      </w:r>
      <w:r w:rsidR="00717540">
        <w:t xml:space="preserve"> some</w:t>
      </w:r>
      <w:r>
        <w:t xml:space="preserve"> additional concepts that are central to our discussion:</w:t>
      </w:r>
    </w:p>
    <w:tbl>
      <w:tblPr>
        <w:tblStyle w:val="Tabelamrea"/>
        <w:tblW w:w="0" w:type="auto"/>
        <w:tblInd w:w="-147" w:type="dxa"/>
        <w:tblLook w:val="04A0" w:firstRow="1" w:lastRow="0" w:firstColumn="1" w:lastColumn="0" w:noHBand="0" w:noVBand="1"/>
      </w:tblPr>
      <w:tblGrid>
        <w:gridCol w:w="8642"/>
      </w:tblGrid>
      <w:tr w:rsidR="00717540" w:rsidRPr="00CF0201" w:rsidTr="00CE2D2F">
        <w:trPr>
          <w:trHeight w:val="841"/>
        </w:trPr>
        <w:tc>
          <w:tcPr>
            <w:tcW w:w="8642" w:type="dxa"/>
            <w:shd w:val="clear" w:color="auto" w:fill="B4C6E7" w:themeFill="accent1" w:themeFillTint="66"/>
          </w:tcPr>
          <w:p w:rsidR="00717540" w:rsidRDefault="00717540" w:rsidP="00B15501">
            <w:pPr>
              <w:pStyle w:val="NeAdnumber-level1"/>
              <w:numPr>
                <w:ilvl w:val="0"/>
                <w:numId w:val="0"/>
              </w:numPr>
              <w:ind w:left="567" w:hanging="567"/>
              <w:rPr>
                <w:b/>
                <w:i/>
                <w:u w:val="single"/>
              </w:rPr>
            </w:pPr>
            <w:r>
              <w:rPr>
                <w:b/>
                <w:i/>
                <w:u w:val="single"/>
              </w:rPr>
              <w:t>RAP Thresholds</w:t>
            </w:r>
            <w:r w:rsidR="00B85BA3">
              <w:rPr>
                <w:rStyle w:val="Sprotnaopomba-sklic"/>
                <w:b/>
                <w:i/>
                <w:u w:val="single"/>
              </w:rPr>
              <w:footnoteReference w:id="8"/>
            </w:r>
            <w:r w:rsidR="006E05E5">
              <w:rPr>
                <w:b/>
                <w:i/>
                <w:u w:val="single"/>
              </w:rPr>
              <w:t xml:space="preserve"> </w:t>
            </w:r>
            <w:r>
              <w:rPr>
                <w:b/>
                <w:i/>
                <w:u w:val="single"/>
              </w:rPr>
              <w:t>:</w:t>
            </w:r>
          </w:p>
          <w:p w:rsidR="00BD5C3F" w:rsidRDefault="00AD069A" w:rsidP="00BD5C3F">
            <w:pPr>
              <w:pStyle w:val="NeAdnumber-level1"/>
              <w:numPr>
                <w:ilvl w:val="0"/>
                <w:numId w:val="0"/>
              </w:numPr>
              <w:rPr>
                <w:i/>
              </w:rPr>
            </w:pPr>
            <w:r>
              <w:rPr>
                <w:i/>
              </w:rPr>
              <w:t>RAP t</w:t>
            </w:r>
            <w:r w:rsidR="00BD5C3F" w:rsidRPr="00BD5C3F">
              <w:rPr>
                <w:i/>
              </w:rPr>
              <w:t>hresholds are situated at the portfolio level and set the level of RAP the bank wants to assume with respect to a given</w:t>
            </w:r>
            <w:r w:rsidR="00EF749C">
              <w:rPr>
                <w:i/>
              </w:rPr>
              <w:t xml:space="preserve"> (often</w:t>
            </w:r>
            <w:r w:rsidR="00F04FC4">
              <w:rPr>
                <w:i/>
              </w:rPr>
              <w:t xml:space="preserve"> a</w:t>
            </w:r>
            <w:r w:rsidR="00EF749C">
              <w:rPr>
                <w:i/>
              </w:rPr>
              <w:t xml:space="preserve"> relatively broad)</w:t>
            </w:r>
            <w:r w:rsidR="00BD5C3F" w:rsidRPr="00BD5C3F">
              <w:rPr>
                <w:i/>
              </w:rPr>
              <w:t xml:space="preserve"> aggregation of assets. Depending </w:t>
            </w:r>
            <w:r w:rsidR="00F04FC4">
              <w:rPr>
                <w:i/>
              </w:rPr>
              <w:t>up</w:t>
            </w:r>
            <w:r w:rsidR="00BD5C3F" w:rsidRPr="00BD5C3F">
              <w:rPr>
                <w:i/>
              </w:rPr>
              <w:t>on the size and scope of the portfolio, one can further differentiate between mid-level and high-level portfolio thresholds.</w:t>
            </w:r>
          </w:p>
          <w:p w:rsidR="00F077CD" w:rsidRDefault="00F077CD" w:rsidP="00BD5C3F">
            <w:pPr>
              <w:pStyle w:val="NeAdnumber-level1"/>
              <w:numPr>
                <w:ilvl w:val="0"/>
                <w:numId w:val="0"/>
              </w:numPr>
              <w:rPr>
                <w:i/>
              </w:rPr>
            </w:pPr>
            <w:r w:rsidRPr="00F077CD">
              <w:rPr>
                <w:i/>
              </w:rPr>
              <w:t>RAP thresholds are ba</w:t>
            </w:r>
            <w:r>
              <w:rPr>
                <w:i/>
              </w:rPr>
              <w:t xml:space="preserve">sed </w:t>
            </w:r>
            <w:r w:rsidR="006F01B7">
              <w:rPr>
                <w:i/>
              </w:rPr>
              <w:t xml:space="preserve">on a firm-wide view of RAP </w:t>
            </w:r>
            <w:r w:rsidR="009E50B3">
              <w:rPr>
                <w:i/>
              </w:rPr>
              <w:t xml:space="preserve">and </w:t>
            </w:r>
            <w:r w:rsidR="00384CCD">
              <w:rPr>
                <w:i/>
              </w:rPr>
              <w:t>contain</w:t>
            </w:r>
            <w:r w:rsidR="00B02EEB" w:rsidRPr="00B02EEB">
              <w:rPr>
                <w:i/>
              </w:rPr>
              <w:t xml:space="preserve"> more granular guidance</w:t>
            </w:r>
            <w:r w:rsidR="00713E28">
              <w:rPr>
                <w:i/>
              </w:rPr>
              <w:t xml:space="preserve"> for specific portfolios</w:t>
            </w:r>
            <w:r w:rsidR="00B02EEB" w:rsidRPr="00B02EEB">
              <w:rPr>
                <w:i/>
              </w:rPr>
              <w:t xml:space="preserve"> (top-down perspective). The design of certain thresholds should also reflect feedback from the concerned business units on whether </w:t>
            </w:r>
            <w:r w:rsidR="00B02EEB">
              <w:rPr>
                <w:i/>
              </w:rPr>
              <w:t>they</w:t>
            </w:r>
            <w:r w:rsidR="00B02EEB" w:rsidRPr="00B02EEB">
              <w:rPr>
                <w:i/>
              </w:rPr>
              <w:t xml:space="preserve"> are set at the right level (bottom-up perspective).</w:t>
            </w:r>
            <w:r w:rsidR="00C40F9F">
              <w:rPr>
                <w:i/>
              </w:rPr>
              <w:t xml:space="preserve"> </w:t>
            </w:r>
            <w:r w:rsidR="00115EBE">
              <w:rPr>
                <w:i/>
              </w:rPr>
              <w:t xml:space="preserve">RAP thresholds </w:t>
            </w:r>
            <w:r w:rsidR="00115EBE" w:rsidRPr="00115EBE">
              <w:rPr>
                <w:i/>
              </w:rPr>
              <w:t>should be based on regular internal stress tests performed both at the institution-wide and the sub-consolidated level. The results should feed into the regular review of the RAF and RAS.</w:t>
            </w:r>
          </w:p>
          <w:p w:rsidR="00BA68AE" w:rsidRDefault="008415CB" w:rsidP="00472699">
            <w:pPr>
              <w:pStyle w:val="NeAdnumber-level1"/>
              <w:numPr>
                <w:ilvl w:val="0"/>
                <w:numId w:val="0"/>
              </w:numPr>
              <w:rPr>
                <w:i/>
              </w:rPr>
            </w:pPr>
            <w:r w:rsidRPr="008415CB">
              <w:rPr>
                <w:i/>
              </w:rPr>
              <w:t xml:space="preserve">When </w:t>
            </w:r>
            <w:r>
              <w:rPr>
                <w:i/>
              </w:rPr>
              <w:t>the risk profile o</w:t>
            </w:r>
            <w:r w:rsidR="00F04FC4">
              <w:rPr>
                <w:i/>
              </w:rPr>
              <w:t>f</w:t>
            </w:r>
            <w:r>
              <w:rPr>
                <w:i/>
              </w:rPr>
              <w:t xml:space="preserve"> the given portfolio</w:t>
            </w:r>
            <w:r w:rsidRPr="008415CB">
              <w:rPr>
                <w:i/>
              </w:rPr>
              <w:t xml:space="preserve"> come</w:t>
            </w:r>
            <w:r>
              <w:rPr>
                <w:i/>
              </w:rPr>
              <w:t>s</w:t>
            </w:r>
            <w:r w:rsidRPr="008415CB">
              <w:rPr>
                <w:i/>
              </w:rPr>
              <w:t xml:space="preserve"> close to threshold levels</w:t>
            </w:r>
            <w:r>
              <w:rPr>
                <w:i/>
              </w:rPr>
              <w:t>,</w:t>
            </w:r>
            <w:r w:rsidRPr="008415CB">
              <w:rPr>
                <w:i/>
              </w:rPr>
              <w:t xml:space="preserve"> a red flag should be raised all the way to the top</w:t>
            </w:r>
            <w:r w:rsidR="006E0340">
              <w:rPr>
                <w:i/>
              </w:rPr>
              <w:t xml:space="preserve"> of the </w:t>
            </w:r>
            <w:r w:rsidR="00DF0EC7">
              <w:rPr>
                <w:i/>
              </w:rPr>
              <w:t>bank</w:t>
            </w:r>
            <w:r w:rsidRPr="008415CB">
              <w:rPr>
                <w:i/>
              </w:rPr>
              <w:t xml:space="preserve">. Management </w:t>
            </w:r>
            <w:r w:rsidR="005F1D55">
              <w:rPr>
                <w:i/>
              </w:rPr>
              <w:t xml:space="preserve">then </w:t>
            </w:r>
            <w:r w:rsidRPr="008415CB">
              <w:rPr>
                <w:i/>
              </w:rPr>
              <w:t xml:space="preserve">needs to immediately take remedial action </w:t>
            </w:r>
            <w:r w:rsidR="00C93EFE">
              <w:rPr>
                <w:i/>
              </w:rPr>
              <w:t>such as</w:t>
            </w:r>
            <w:r w:rsidRPr="008415CB">
              <w:rPr>
                <w:i/>
              </w:rPr>
              <w:t xml:space="preserve"> limiting the threshold business/activity</w:t>
            </w:r>
            <w:r w:rsidR="005F1D55">
              <w:rPr>
                <w:i/>
              </w:rPr>
              <w:t>.</w:t>
            </w:r>
          </w:p>
          <w:p w:rsidR="00797683" w:rsidRPr="00BA68AE" w:rsidRDefault="00BC6C33" w:rsidP="003B6A03">
            <w:pPr>
              <w:pStyle w:val="NeAdnumber-level1"/>
              <w:numPr>
                <w:ilvl w:val="0"/>
                <w:numId w:val="0"/>
              </w:numPr>
              <w:rPr>
                <w:i/>
              </w:rPr>
            </w:pPr>
            <w:r w:rsidRPr="00BC6C33">
              <w:rPr>
                <w:i/>
              </w:rPr>
              <w:t>The most important high-level thresholds are generally those that are included in the institution-wide RAS and hence in the dashboard used by the SB to monitor the institution-wide RAP and risk profile</w:t>
            </w:r>
            <w:r w:rsidR="00C6456A">
              <w:rPr>
                <w:i/>
              </w:rPr>
              <w:t>.</w:t>
            </w:r>
          </w:p>
        </w:tc>
      </w:tr>
      <w:tr w:rsidR="00717540" w:rsidRPr="00CF0201" w:rsidTr="00220384">
        <w:trPr>
          <w:trHeight w:val="60"/>
        </w:trPr>
        <w:tc>
          <w:tcPr>
            <w:tcW w:w="8642" w:type="dxa"/>
            <w:shd w:val="clear" w:color="auto" w:fill="B4C6E7" w:themeFill="accent1" w:themeFillTint="66"/>
          </w:tcPr>
          <w:p w:rsidR="00717540" w:rsidRDefault="00717540" w:rsidP="00B15501">
            <w:pPr>
              <w:pStyle w:val="NeAdnumber-level1"/>
              <w:numPr>
                <w:ilvl w:val="0"/>
                <w:numId w:val="0"/>
              </w:numPr>
              <w:ind w:left="567" w:hanging="567"/>
              <w:rPr>
                <w:b/>
                <w:i/>
                <w:u w:val="single"/>
              </w:rPr>
            </w:pPr>
            <w:r>
              <w:rPr>
                <w:b/>
                <w:i/>
                <w:u w:val="single"/>
              </w:rPr>
              <w:t>RAP Limits:</w:t>
            </w:r>
          </w:p>
          <w:p w:rsidR="00472699" w:rsidRDefault="00185A43" w:rsidP="00220384">
            <w:pPr>
              <w:pStyle w:val="NeAdnumber-level1"/>
              <w:numPr>
                <w:ilvl w:val="0"/>
                <w:numId w:val="0"/>
              </w:numPr>
              <w:rPr>
                <w:i/>
              </w:rPr>
            </w:pPr>
            <w:r w:rsidRPr="00185A43">
              <w:rPr>
                <w:i/>
              </w:rPr>
              <w:t xml:space="preserve">RAP limits </w:t>
            </w:r>
            <w:r>
              <w:rPr>
                <w:i/>
              </w:rPr>
              <w:t>set the level of RAP</w:t>
            </w:r>
            <w:r w:rsidR="008A70DF">
              <w:rPr>
                <w:i/>
              </w:rPr>
              <w:t xml:space="preserve"> either for </w:t>
            </w:r>
            <w:r w:rsidR="00AD12A5">
              <w:rPr>
                <w:i/>
              </w:rPr>
              <w:t>a given</w:t>
            </w:r>
            <w:r w:rsidR="00DC405A">
              <w:rPr>
                <w:i/>
              </w:rPr>
              <w:t xml:space="preserve"> (often relatively small)</w:t>
            </w:r>
            <w:r w:rsidR="00AD12A5">
              <w:rPr>
                <w:i/>
              </w:rPr>
              <w:t xml:space="preserve"> </w:t>
            </w:r>
            <w:r w:rsidR="008A70DF">
              <w:rPr>
                <w:i/>
              </w:rPr>
              <w:t>portfolio</w:t>
            </w:r>
            <w:r w:rsidRPr="00185A43">
              <w:rPr>
                <w:i/>
              </w:rPr>
              <w:t xml:space="preserve"> </w:t>
            </w:r>
            <w:r w:rsidR="008A70DF">
              <w:rPr>
                <w:i/>
              </w:rPr>
              <w:t>or</w:t>
            </w:r>
            <w:r w:rsidRPr="00185A43">
              <w:rPr>
                <w:i/>
              </w:rPr>
              <w:t xml:space="preserve"> </w:t>
            </w:r>
            <w:r w:rsidR="008A70DF">
              <w:rPr>
                <w:i/>
              </w:rPr>
              <w:t>for specific</w:t>
            </w:r>
            <w:r w:rsidRPr="00185A43">
              <w:rPr>
                <w:i/>
              </w:rPr>
              <w:t xml:space="preserve"> transactions. </w:t>
            </w:r>
            <w:r w:rsidR="004806F3">
              <w:rPr>
                <w:i/>
              </w:rPr>
              <w:t xml:space="preserve">In contrast to RAP thresholds, </w:t>
            </w:r>
            <w:r w:rsidR="00ED0D4C">
              <w:rPr>
                <w:i/>
              </w:rPr>
              <w:t>RAP limits create binding business constraints</w:t>
            </w:r>
            <w:r w:rsidR="00B246BC">
              <w:rPr>
                <w:i/>
              </w:rPr>
              <w:t xml:space="preserve"> to front line</w:t>
            </w:r>
            <w:r w:rsidR="00931169">
              <w:rPr>
                <w:i/>
              </w:rPr>
              <w:t xml:space="preserve"> personnel</w:t>
            </w:r>
            <w:r w:rsidR="00B246BC">
              <w:rPr>
                <w:i/>
              </w:rPr>
              <w:t xml:space="preserve"> and to credit committees</w:t>
            </w:r>
            <w:r w:rsidR="00ED0D4C">
              <w:rPr>
                <w:i/>
              </w:rPr>
              <w:t xml:space="preserve">. </w:t>
            </w:r>
            <w:r w:rsidR="00763378" w:rsidRPr="00763378">
              <w:rPr>
                <w:i/>
              </w:rPr>
              <w:t xml:space="preserve">Transactions </w:t>
            </w:r>
            <w:r w:rsidR="00D815B1">
              <w:rPr>
                <w:i/>
              </w:rPr>
              <w:t>in breach of</w:t>
            </w:r>
            <w:r w:rsidR="00763378" w:rsidRPr="00763378">
              <w:rPr>
                <w:i/>
              </w:rPr>
              <w:t xml:space="preserve"> limits </w:t>
            </w:r>
            <w:r w:rsidR="00D815B1">
              <w:rPr>
                <w:i/>
              </w:rPr>
              <w:t>have to be</w:t>
            </w:r>
            <w:r w:rsidR="00763378" w:rsidRPr="00763378">
              <w:rPr>
                <w:i/>
              </w:rPr>
              <w:t xml:space="preserve"> </w:t>
            </w:r>
            <w:r w:rsidR="007A130E">
              <w:rPr>
                <w:i/>
              </w:rPr>
              <w:t>approv</w:t>
            </w:r>
            <w:r w:rsidR="00D815B1">
              <w:rPr>
                <w:i/>
              </w:rPr>
              <w:t xml:space="preserve">ed </w:t>
            </w:r>
            <w:r w:rsidR="007A130E">
              <w:rPr>
                <w:i/>
              </w:rPr>
              <w:t>by the escalation authority</w:t>
            </w:r>
            <w:r w:rsidR="00763378" w:rsidRPr="00763378">
              <w:rPr>
                <w:i/>
              </w:rPr>
              <w:t>.</w:t>
            </w:r>
          </w:p>
          <w:p w:rsidR="00717540" w:rsidRPr="007628B4" w:rsidRDefault="00472699" w:rsidP="00220384">
            <w:pPr>
              <w:pStyle w:val="NeAdnumber-level1"/>
              <w:numPr>
                <w:ilvl w:val="0"/>
                <w:numId w:val="0"/>
              </w:numPr>
              <w:rPr>
                <w:i/>
              </w:rPr>
            </w:pPr>
            <w:r w:rsidRPr="00472699">
              <w:rPr>
                <w:i/>
              </w:rPr>
              <w:t xml:space="preserve">RAP </w:t>
            </w:r>
            <w:r>
              <w:rPr>
                <w:i/>
              </w:rPr>
              <w:t>limits</w:t>
            </w:r>
            <w:r w:rsidRPr="00472699">
              <w:rPr>
                <w:i/>
              </w:rPr>
              <w:t xml:space="preserve"> are </w:t>
            </w:r>
            <w:r>
              <w:rPr>
                <w:i/>
              </w:rPr>
              <w:t>set from a</w:t>
            </w:r>
            <w:r w:rsidRPr="00472699">
              <w:rPr>
                <w:i/>
              </w:rPr>
              <w:t xml:space="preserve"> top-down perspective</w:t>
            </w:r>
            <w:r>
              <w:rPr>
                <w:i/>
              </w:rPr>
              <w:t xml:space="preserve"> and </w:t>
            </w:r>
            <w:r w:rsidRPr="00472699">
              <w:rPr>
                <w:i/>
              </w:rPr>
              <w:t xml:space="preserve">should also reflect feedback from the </w:t>
            </w:r>
            <w:r w:rsidR="00F04FC4">
              <w:rPr>
                <w:i/>
              </w:rPr>
              <w:t>relevant</w:t>
            </w:r>
            <w:r w:rsidR="00F04FC4" w:rsidRPr="00472699">
              <w:rPr>
                <w:i/>
              </w:rPr>
              <w:t xml:space="preserve"> </w:t>
            </w:r>
            <w:r w:rsidRPr="00472699">
              <w:rPr>
                <w:i/>
              </w:rPr>
              <w:t>business units (bottom-up perspective).</w:t>
            </w:r>
            <w:r w:rsidR="00626A5F">
              <w:rPr>
                <w:i/>
              </w:rPr>
              <w:t xml:space="preserve"> </w:t>
            </w:r>
            <w:r w:rsidR="000B6659">
              <w:rPr>
                <w:i/>
              </w:rPr>
              <w:t xml:space="preserve">Like RAP thresholds, </w:t>
            </w:r>
            <w:r w:rsidR="00626A5F">
              <w:rPr>
                <w:i/>
              </w:rPr>
              <w:t xml:space="preserve">RAP limits </w:t>
            </w:r>
            <w:r w:rsidR="00433C6D">
              <w:rPr>
                <w:i/>
              </w:rPr>
              <w:t>should</w:t>
            </w:r>
            <w:r w:rsidR="00626A5F">
              <w:rPr>
                <w:i/>
              </w:rPr>
              <w:t xml:space="preserve"> be based on regular internal stress testing.</w:t>
            </w:r>
          </w:p>
        </w:tc>
      </w:tr>
      <w:tr w:rsidR="00B15501" w:rsidRPr="00CF0201" w:rsidTr="00250A41">
        <w:trPr>
          <w:trHeight w:val="1809"/>
        </w:trPr>
        <w:tc>
          <w:tcPr>
            <w:tcW w:w="8642" w:type="dxa"/>
            <w:shd w:val="clear" w:color="auto" w:fill="B4C6E7" w:themeFill="accent1" w:themeFillTint="66"/>
          </w:tcPr>
          <w:p w:rsidR="00B15501" w:rsidRPr="00CF0201" w:rsidRDefault="00B15501" w:rsidP="00B15501">
            <w:pPr>
              <w:pStyle w:val="NeAdnumber-level1"/>
              <w:numPr>
                <w:ilvl w:val="0"/>
                <w:numId w:val="0"/>
              </w:numPr>
              <w:ind w:left="567" w:hanging="567"/>
              <w:rPr>
                <w:b/>
                <w:i/>
                <w:u w:val="single"/>
              </w:rPr>
            </w:pPr>
            <w:r w:rsidRPr="00CF0201">
              <w:rPr>
                <w:b/>
                <w:i/>
                <w:u w:val="single"/>
              </w:rPr>
              <w:t xml:space="preserve">Risk </w:t>
            </w:r>
            <w:r>
              <w:rPr>
                <w:b/>
                <w:i/>
                <w:u w:val="single"/>
              </w:rPr>
              <w:t>Tolerance</w:t>
            </w:r>
            <w:r w:rsidRPr="00CF0201">
              <w:rPr>
                <w:b/>
                <w:i/>
                <w:u w:val="single"/>
              </w:rPr>
              <w:t>:</w:t>
            </w:r>
          </w:p>
          <w:p w:rsidR="00B1031A" w:rsidRDefault="00B15501" w:rsidP="003B6A03">
            <w:pPr>
              <w:pStyle w:val="NeAdnumber-level1"/>
              <w:numPr>
                <w:ilvl w:val="0"/>
                <w:numId w:val="0"/>
              </w:numPr>
              <w:rPr>
                <w:b/>
                <w:i/>
                <w:u w:val="single"/>
              </w:rPr>
            </w:pPr>
            <w:r w:rsidRPr="001F3013">
              <w:rPr>
                <w:i/>
              </w:rPr>
              <w:t xml:space="preserve">Maximum negative impact </w:t>
            </w:r>
            <w:r w:rsidR="00912B8F">
              <w:rPr>
                <w:i/>
              </w:rPr>
              <w:t xml:space="preserve">(loss amount) </w:t>
            </w:r>
            <w:r w:rsidRPr="001F3013">
              <w:rPr>
                <w:i/>
              </w:rPr>
              <w:t xml:space="preserve">a bank is willing to accept from a specific risk event or series of risk events. While often used interchangeably with </w:t>
            </w:r>
            <w:r w:rsidR="00CA651B">
              <w:rPr>
                <w:i/>
              </w:rPr>
              <w:t>RAP</w:t>
            </w:r>
            <w:r w:rsidRPr="001F3013">
              <w:rPr>
                <w:i/>
              </w:rPr>
              <w:t xml:space="preserve">, we use the term to describe </w:t>
            </w:r>
            <w:r w:rsidR="00CA651B" w:rsidRPr="00CB3B11">
              <w:rPr>
                <w:bCs/>
                <w:i/>
              </w:rPr>
              <w:t>RAP</w:t>
            </w:r>
            <w:r w:rsidRPr="00CB3B11">
              <w:rPr>
                <w:bCs/>
                <w:i/>
              </w:rPr>
              <w:t xml:space="preserve"> in non-business areas </w:t>
            </w:r>
            <w:r w:rsidRPr="00CB3B11">
              <w:rPr>
                <w:i/>
              </w:rPr>
              <w:t>such</w:t>
            </w:r>
            <w:r w:rsidRPr="001F3013">
              <w:rPr>
                <w:i/>
              </w:rPr>
              <w:t xml:space="preserve"> as operational/reputational risk.</w:t>
            </w:r>
            <w:r w:rsidR="003B6A03">
              <w:rPr>
                <w:i/>
              </w:rPr>
              <w:t xml:space="preserve"> </w:t>
            </w:r>
          </w:p>
        </w:tc>
      </w:tr>
      <w:tr w:rsidR="00311856" w:rsidRPr="00CF0201" w:rsidTr="00250A41">
        <w:trPr>
          <w:trHeight w:val="1809"/>
        </w:trPr>
        <w:tc>
          <w:tcPr>
            <w:tcW w:w="8642" w:type="dxa"/>
            <w:shd w:val="clear" w:color="auto" w:fill="B4C6E7" w:themeFill="accent1" w:themeFillTint="66"/>
          </w:tcPr>
          <w:p w:rsidR="004D472D" w:rsidRPr="004D472D" w:rsidRDefault="004D472D" w:rsidP="004D472D">
            <w:pPr>
              <w:pStyle w:val="NeAdnumber-level1"/>
              <w:numPr>
                <w:ilvl w:val="0"/>
                <w:numId w:val="0"/>
              </w:numPr>
              <w:ind w:left="567" w:hanging="567"/>
              <w:rPr>
                <w:b/>
                <w:i/>
                <w:u w:val="single"/>
              </w:rPr>
            </w:pPr>
            <w:r w:rsidRPr="004D472D">
              <w:rPr>
                <w:b/>
                <w:i/>
                <w:u w:val="single"/>
              </w:rPr>
              <w:t>Management Body:</w:t>
            </w:r>
          </w:p>
          <w:p w:rsidR="00311856" w:rsidRPr="004D472D" w:rsidRDefault="004D472D" w:rsidP="004D472D">
            <w:pPr>
              <w:pStyle w:val="NeAdnumber-level1"/>
              <w:numPr>
                <w:ilvl w:val="0"/>
                <w:numId w:val="0"/>
              </w:numPr>
              <w:rPr>
                <w:i/>
              </w:rPr>
            </w:pPr>
            <w:r>
              <w:rPr>
                <w:i/>
              </w:rPr>
              <w:t>According to Article 3 (1) (7) of</w:t>
            </w:r>
            <w:r>
              <w:t xml:space="preserve"> </w:t>
            </w:r>
            <w:r w:rsidRPr="004D472D">
              <w:rPr>
                <w:i/>
              </w:rPr>
              <w:t>Directive 2013/36/EU</w:t>
            </w:r>
            <w:r>
              <w:rPr>
                <w:i/>
              </w:rPr>
              <w:t>, a</w:t>
            </w:r>
            <w:r w:rsidRPr="004D472D">
              <w:rPr>
                <w:i/>
              </w:rPr>
              <w:t>n institution's body or bodies, which are appointed in accordance with national law, which are empowered to set the institution's strategy, objectives and overall direction, and which oversee and monitor management decision-making, and include the persons who effectively direct the business of the institution.</w:t>
            </w:r>
          </w:p>
        </w:tc>
      </w:tr>
      <w:tr w:rsidR="000425F5" w:rsidRPr="00CF0201" w:rsidTr="00250A41">
        <w:trPr>
          <w:trHeight w:val="1809"/>
        </w:trPr>
        <w:tc>
          <w:tcPr>
            <w:tcW w:w="8642" w:type="dxa"/>
            <w:shd w:val="clear" w:color="auto" w:fill="B4C6E7" w:themeFill="accent1" w:themeFillTint="66"/>
          </w:tcPr>
          <w:p w:rsidR="000425F5" w:rsidRDefault="000425F5" w:rsidP="00B15501">
            <w:pPr>
              <w:pStyle w:val="NeAdnumber-level1"/>
              <w:numPr>
                <w:ilvl w:val="0"/>
                <w:numId w:val="0"/>
              </w:numPr>
              <w:ind w:left="567" w:hanging="567"/>
              <w:rPr>
                <w:b/>
                <w:i/>
                <w:u w:val="single"/>
              </w:rPr>
            </w:pPr>
            <w:r>
              <w:rPr>
                <w:b/>
                <w:i/>
                <w:u w:val="single"/>
              </w:rPr>
              <w:t>Management Board:</w:t>
            </w:r>
          </w:p>
          <w:p w:rsidR="000425F5" w:rsidRPr="00E320FA" w:rsidRDefault="000425F5" w:rsidP="000425F5">
            <w:pPr>
              <w:pStyle w:val="NeAdnumber-level1"/>
              <w:numPr>
                <w:ilvl w:val="0"/>
                <w:numId w:val="0"/>
              </w:numPr>
              <w:rPr>
                <w:b/>
                <w:i/>
                <w:u w:val="single"/>
              </w:rPr>
            </w:pPr>
            <w:r w:rsidRPr="00E320FA">
              <w:rPr>
                <w:i/>
              </w:rPr>
              <w:t xml:space="preserve">Under the dual board system, there are two separate boards including the Management Board (MgmtB) </w:t>
            </w:r>
            <w:r w:rsidR="00F46357" w:rsidRPr="00E320FA">
              <w:rPr>
                <w:i/>
              </w:rPr>
              <w:t xml:space="preserve">and the Supervisory Board (SB). The MgmtB is </w:t>
            </w:r>
            <w:r w:rsidRPr="00E320FA">
              <w:rPr>
                <w:i/>
              </w:rPr>
              <w:t>responsible for daily management of the business and executing the bank’s strategy</w:t>
            </w:r>
            <w:r w:rsidR="00F46357" w:rsidRPr="00E320FA">
              <w:rPr>
                <w:i/>
              </w:rPr>
              <w:t>.</w:t>
            </w:r>
          </w:p>
        </w:tc>
      </w:tr>
      <w:tr w:rsidR="000425F5" w:rsidRPr="00CF0201" w:rsidTr="00E320FA">
        <w:trPr>
          <w:trHeight w:val="1594"/>
        </w:trPr>
        <w:tc>
          <w:tcPr>
            <w:tcW w:w="8642" w:type="dxa"/>
            <w:shd w:val="clear" w:color="auto" w:fill="B4C6E7" w:themeFill="accent1" w:themeFillTint="66"/>
          </w:tcPr>
          <w:p w:rsidR="000425F5" w:rsidRDefault="000425F5" w:rsidP="00B15501">
            <w:pPr>
              <w:pStyle w:val="NeAdnumber-level1"/>
              <w:numPr>
                <w:ilvl w:val="0"/>
                <w:numId w:val="0"/>
              </w:numPr>
              <w:ind w:left="567" w:hanging="567"/>
              <w:rPr>
                <w:b/>
                <w:i/>
                <w:u w:val="single"/>
              </w:rPr>
            </w:pPr>
            <w:r>
              <w:rPr>
                <w:b/>
                <w:i/>
                <w:u w:val="single"/>
              </w:rPr>
              <w:t>Supervisory Board:</w:t>
            </w:r>
          </w:p>
          <w:p w:rsidR="000425F5" w:rsidRPr="00F46357" w:rsidRDefault="000425F5" w:rsidP="00F46357">
            <w:pPr>
              <w:pStyle w:val="NeAdnumber-level1"/>
              <w:numPr>
                <w:ilvl w:val="0"/>
                <w:numId w:val="0"/>
              </w:numPr>
              <w:rPr>
                <w:i/>
              </w:rPr>
            </w:pPr>
            <w:r w:rsidRPr="00F46357">
              <w:rPr>
                <w:i/>
              </w:rPr>
              <w:t>Under the dual board system</w:t>
            </w:r>
            <w:r w:rsidR="00F46357" w:rsidRPr="00F46357">
              <w:rPr>
                <w:i/>
              </w:rPr>
              <w:t xml:space="preserve">, the Supervisory Board (SB) </w:t>
            </w:r>
            <w:r w:rsidR="00F46357">
              <w:rPr>
                <w:i/>
              </w:rPr>
              <w:t xml:space="preserve">is </w:t>
            </w:r>
            <w:r w:rsidR="00F46357" w:rsidRPr="00F46357">
              <w:rPr>
                <w:i/>
              </w:rPr>
              <w:t>responsible for setting the bank’s strategy as well as overseeing management.</w:t>
            </w:r>
          </w:p>
        </w:tc>
      </w:tr>
      <w:tr w:rsidR="008450B6" w:rsidRPr="00CF0201" w:rsidTr="00552B81">
        <w:trPr>
          <w:trHeight w:val="1547"/>
        </w:trPr>
        <w:tc>
          <w:tcPr>
            <w:tcW w:w="8642" w:type="dxa"/>
            <w:shd w:val="clear" w:color="auto" w:fill="B4C6E7" w:themeFill="accent1" w:themeFillTint="66"/>
          </w:tcPr>
          <w:p w:rsidR="008450B6" w:rsidRDefault="008450B6" w:rsidP="00B15501">
            <w:pPr>
              <w:pStyle w:val="NeAdnumber-level1"/>
              <w:numPr>
                <w:ilvl w:val="0"/>
                <w:numId w:val="0"/>
              </w:numPr>
              <w:ind w:left="567" w:hanging="567"/>
              <w:rPr>
                <w:b/>
                <w:i/>
                <w:u w:val="single"/>
              </w:rPr>
            </w:pPr>
            <w:r w:rsidRPr="008450B6">
              <w:rPr>
                <w:b/>
                <w:i/>
                <w:u w:val="single"/>
              </w:rPr>
              <w:t>Senior Management:</w:t>
            </w:r>
          </w:p>
          <w:p w:rsidR="008450B6" w:rsidRPr="008450B6" w:rsidRDefault="00552B81" w:rsidP="00552B81">
            <w:pPr>
              <w:pStyle w:val="NeAdnumber-level1"/>
              <w:numPr>
                <w:ilvl w:val="0"/>
                <w:numId w:val="0"/>
              </w:numPr>
              <w:rPr>
                <w:b/>
                <w:i/>
                <w:u w:val="single"/>
              </w:rPr>
            </w:pPr>
            <w:r w:rsidRPr="00552B81">
              <w:rPr>
                <w:i/>
              </w:rPr>
              <w:t>Based on Article 7, paragraph 1, item 30 of the Slovenian Banking Act of 2015, the term senior management refers to t</w:t>
            </w:r>
            <w:r w:rsidR="000425F5" w:rsidRPr="00552B81">
              <w:rPr>
                <w:i/>
              </w:rPr>
              <w:t>he management level just below the Management Board (B-1)</w:t>
            </w:r>
            <w:r w:rsidRPr="00552B81">
              <w:rPr>
                <w:i/>
              </w:rPr>
              <w:t>.</w:t>
            </w:r>
            <w:r w:rsidRPr="008450B6">
              <w:rPr>
                <w:b/>
                <w:i/>
                <w:u w:val="single"/>
              </w:rPr>
              <w:t xml:space="preserve"> </w:t>
            </w:r>
          </w:p>
        </w:tc>
      </w:tr>
      <w:tr w:rsidR="00CF0201" w:rsidRPr="00CF0201" w:rsidTr="007F3695">
        <w:trPr>
          <w:trHeight w:val="983"/>
        </w:trPr>
        <w:tc>
          <w:tcPr>
            <w:tcW w:w="8642" w:type="dxa"/>
            <w:shd w:val="clear" w:color="auto" w:fill="B4C6E7" w:themeFill="accent1" w:themeFillTint="66"/>
          </w:tcPr>
          <w:p w:rsidR="00CF0201" w:rsidRPr="00CF0201" w:rsidRDefault="00CF0201" w:rsidP="00CF0201">
            <w:pPr>
              <w:pStyle w:val="NeAdnumber-level1"/>
              <w:numPr>
                <w:ilvl w:val="0"/>
                <w:numId w:val="0"/>
              </w:numPr>
              <w:rPr>
                <w:b/>
                <w:i/>
                <w:u w:val="single"/>
              </w:rPr>
            </w:pPr>
            <w:r>
              <w:rPr>
                <w:b/>
                <w:i/>
                <w:u w:val="single"/>
              </w:rPr>
              <w:t>Credit Authorities</w:t>
            </w:r>
            <w:r w:rsidRPr="00CF0201">
              <w:rPr>
                <w:b/>
                <w:i/>
                <w:u w:val="single"/>
              </w:rPr>
              <w:t>:</w:t>
            </w:r>
          </w:p>
          <w:p w:rsidR="00563EAB" w:rsidRPr="00CB3B11" w:rsidRDefault="001F3013" w:rsidP="001F3013">
            <w:pPr>
              <w:pStyle w:val="NeAdnumber-level1"/>
              <w:ind w:left="0"/>
              <w:rPr>
                <w:i/>
              </w:rPr>
            </w:pPr>
            <w:r w:rsidRPr="00CB3B11">
              <w:rPr>
                <w:bCs/>
                <w:i/>
              </w:rPr>
              <w:t xml:space="preserve">Constraints on transaction approvals </w:t>
            </w:r>
            <w:r w:rsidRPr="00CB3B11">
              <w:rPr>
                <w:i/>
              </w:rPr>
              <w:t xml:space="preserve">contained in banks’ credit manuals (sometimes also referred to as “risk limits”). They are different from </w:t>
            </w:r>
            <w:r w:rsidR="00CA651B" w:rsidRPr="00CB3B11">
              <w:rPr>
                <w:i/>
              </w:rPr>
              <w:t>RAP</w:t>
            </w:r>
            <w:r w:rsidRPr="00CB3B11">
              <w:rPr>
                <w:i/>
              </w:rPr>
              <w:t xml:space="preserve"> limits and establish the </w:t>
            </w:r>
            <w:r w:rsidRPr="00CB3B11">
              <w:rPr>
                <w:bCs/>
                <w:i/>
              </w:rPr>
              <w:t xml:space="preserve">approval </w:t>
            </w:r>
            <w:r w:rsidR="006443F0" w:rsidRPr="00CB3B11">
              <w:rPr>
                <w:bCs/>
                <w:i/>
              </w:rPr>
              <w:t>(</w:t>
            </w:r>
            <w:r w:rsidR="00EA3742" w:rsidRPr="00CB3B11">
              <w:rPr>
                <w:bCs/>
                <w:i/>
              </w:rPr>
              <w:t>escalation</w:t>
            </w:r>
            <w:r w:rsidR="006443F0" w:rsidRPr="00CB3B11">
              <w:rPr>
                <w:bCs/>
                <w:i/>
              </w:rPr>
              <w:t>)</w:t>
            </w:r>
            <w:r w:rsidR="00EA3742" w:rsidRPr="00CB3B11">
              <w:rPr>
                <w:bCs/>
                <w:i/>
              </w:rPr>
              <w:t xml:space="preserve"> </w:t>
            </w:r>
            <w:r w:rsidRPr="00CB3B11">
              <w:rPr>
                <w:bCs/>
                <w:i/>
              </w:rPr>
              <w:t xml:space="preserve">mechanisms </w:t>
            </w:r>
            <w:r w:rsidRPr="00CB3B11">
              <w:rPr>
                <w:i/>
              </w:rPr>
              <w:t xml:space="preserve">for specific </w:t>
            </w:r>
            <w:r w:rsidR="006443F0" w:rsidRPr="00CB3B11">
              <w:rPr>
                <w:i/>
              </w:rPr>
              <w:t xml:space="preserve">types of </w:t>
            </w:r>
            <w:r w:rsidRPr="00CB3B11">
              <w:rPr>
                <w:i/>
              </w:rPr>
              <w:t>transactions</w:t>
            </w:r>
            <w:r w:rsidR="006443F0" w:rsidRPr="00CB3B11">
              <w:rPr>
                <w:i/>
              </w:rPr>
              <w:t xml:space="preserve"> in a product or business setting</w:t>
            </w:r>
            <w:r w:rsidRPr="00CB3B11">
              <w:rPr>
                <w:i/>
              </w:rPr>
              <w:t>. They are reviewed occasionally</w:t>
            </w:r>
            <w:r w:rsidR="004F293B" w:rsidRPr="00CB3B11">
              <w:rPr>
                <w:i/>
              </w:rPr>
              <w:t xml:space="preserve"> and</w:t>
            </w:r>
            <w:r w:rsidRPr="00CB3B11">
              <w:rPr>
                <w:i/>
              </w:rPr>
              <w:t xml:space="preserve"> separately from </w:t>
            </w:r>
            <w:r w:rsidR="00CA651B" w:rsidRPr="00CB3B11">
              <w:rPr>
                <w:i/>
              </w:rPr>
              <w:t>RAP</w:t>
            </w:r>
            <w:r w:rsidR="004F293B" w:rsidRPr="00CB3B11">
              <w:rPr>
                <w:i/>
              </w:rPr>
              <w:t>.</w:t>
            </w:r>
            <w:r w:rsidR="006443F0" w:rsidRPr="00CB3B11">
              <w:rPr>
                <w:i/>
              </w:rPr>
              <w:t xml:space="preserve"> </w:t>
            </w:r>
          </w:p>
          <w:p w:rsidR="00CB0D24" w:rsidRDefault="00CB0D24" w:rsidP="001F3013">
            <w:pPr>
              <w:pStyle w:val="NeAdnumber-level1"/>
              <w:ind w:left="0"/>
              <w:rPr>
                <w:i/>
              </w:rPr>
            </w:pPr>
            <w:r w:rsidRPr="00CB0D24">
              <w:rPr>
                <w:i/>
              </w:rPr>
              <w:t>For instance, a bank might determine that consumer loans below EUR 20,000 can be approved at the level of the branch manager, subject to a risk assessment.</w:t>
            </w:r>
          </w:p>
          <w:p w:rsidR="00CF0201" w:rsidRPr="001F3013" w:rsidRDefault="00563EAB" w:rsidP="00563EAB">
            <w:pPr>
              <w:pStyle w:val="NeAdnumber-level1"/>
              <w:numPr>
                <w:ilvl w:val="0"/>
                <w:numId w:val="0"/>
              </w:numPr>
              <w:rPr>
                <w:i/>
              </w:rPr>
            </w:pPr>
            <w:r w:rsidRPr="00563EAB">
              <w:rPr>
                <w:i/>
              </w:rPr>
              <w:t>It is important to note that these credit authorities are not part of the RAF. However, banks should ensure that RAP thresholds and limits take into account existing credit authorities, so that the RAF does not undermine the procedures in the credit manual or vice versa</w:t>
            </w:r>
            <w:r>
              <w:rPr>
                <w:i/>
              </w:rPr>
              <w:t xml:space="preserve">. </w:t>
            </w:r>
            <w:r w:rsidR="006443F0">
              <w:rPr>
                <w:i/>
              </w:rPr>
              <w:t xml:space="preserve">Sometimes an important change in </w:t>
            </w:r>
            <w:r w:rsidR="00CA651B">
              <w:rPr>
                <w:i/>
              </w:rPr>
              <w:t>RA</w:t>
            </w:r>
            <w:r w:rsidR="00E8422C">
              <w:rPr>
                <w:i/>
              </w:rPr>
              <w:t>P</w:t>
            </w:r>
            <w:r w:rsidR="006443F0">
              <w:rPr>
                <w:i/>
              </w:rPr>
              <w:t xml:space="preserve"> might trigger a review</w:t>
            </w:r>
            <w:r w:rsidR="004905D4">
              <w:rPr>
                <w:i/>
              </w:rPr>
              <w:t xml:space="preserve"> of a bank’s </w:t>
            </w:r>
            <w:r w:rsidR="00E660F3">
              <w:rPr>
                <w:i/>
              </w:rPr>
              <w:t>credit authorities</w:t>
            </w:r>
            <w:r w:rsidR="006443F0">
              <w:rPr>
                <w:i/>
              </w:rPr>
              <w:t>.</w:t>
            </w:r>
          </w:p>
        </w:tc>
      </w:tr>
      <w:bookmarkEnd w:id="10"/>
    </w:tbl>
    <w:p w:rsidR="00D567C1" w:rsidRDefault="00D567C1" w:rsidP="00D567C1">
      <w:pPr>
        <w:pStyle w:val="NeAdnumber-level2"/>
        <w:numPr>
          <w:ilvl w:val="0"/>
          <w:numId w:val="0"/>
        </w:numPr>
        <w:ind w:left="1134" w:hanging="567"/>
      </w:pPr>
    </w:p>
    <w:p w:rsidR="00D567C1" w:rsidRPr="00B521EC" w:rsidRDefault="00D567C1" w:rsidP="0040754E">
      <w:pPr>
        <w:pStyle w:val="NeAdnumber-level2"/>
        <w:sectPr w:rsidR="00D567C1" w:rsidRPr="00B521EC" w:rsidSect="002153B2">
          <w:headerReference w:type="even" r:id="rId15"/>
          <w:headerReference w:type="default" r:id="rId16"/>
          <w:footerReference w:type="default" r:id="rId17"/>
          <w:headerReference w:type="first" r:id="rId18"/>
          <w:pgSz w:w="11907" w:h="16840" w:code="9"/>
          <w:pgMar w:top="1418" w:right="1134" w:bottom="1418" w:left="2268" w:header="0" w:footer="113" w:gutter="0"/>
          <w:cols w:space="708"/>
          <w:docGrid w:linePitch="360"/>
        </w:sectPr>
      </w:pPr>
    </w:p>
    <w:p w:rsidR="00CF374E" w:rsidRDefault="005E7AD5" w:rsidP="00A55C8D">
      <w:pPr>
        <w:pStyle w:val="NeAdH1"/>
      </w:pPr>
      <w:bookmarkStart w:id="11" w:name="_Toc510622689"/>
      <w:bookmarkStart w:id="12" w:name="_Toc496105673"/>
      <w:r>
        <w:t>Guidance</w:t>
      </w:r>
      <w:bookmarkEnd w:id="11"/>
    </w:p>
    <w:p w:rsidR="00E64998" w:rsidRDefault="005E7AD5" w:rsidP="00E64998">
      <w:pPr>
        <w:pStyle w:val="NeAdH2"/>
      </w:pPr>
      <w:bookmarkStart w:id="13" w:name="_Toc510622690"/>
      <w:r>
        <w:t>Governance and Process</w:t>
      </w:r>
      <w:bookmarkEnd w:id="13"/>
    </w:p>
    <w:p w:rsidR="002153B2" w:rsidRDefault="00CA651B" w:rsidP="00187EBA">
      <w:pPr>
        <w:pStyle w:val="NeAdH3"/>
      </w:pPr>
      <w:bookmarkStart w:id="14" w:name="_Toc510622691"/>
      <w:r>
        <w:t>RAP</w:t>
      </w:r>
      <w:r w:rsidR="000C318D">
        <w:t>, Risk Management Strategy, and Business Strategy</w:t>
      </w:r>
      <w:bookmarkEnd w:id="12"/>
      <w:bookmarkEnd w:id="14"/>
    </w:p>
    <w:p w:rsidR="002243E2" w:rsidRDefault="008D6CDC" w:rsidP="002243E2">
      <w:pPr>
        <w:pStyle w:val="NeAdH42"/>
      </w:pPr>
      <w:bookmarkStart w:id="15" w:name="_Toc501212125"/>
      <w:r>
        <w:t>Guideline</w:t>
      </w:r>
      <w:r w:rsidR="002243E2">
        <w:t>s</w:t>
      </w:r>
    </w:p>
    <w:tbl>
      <w:tblPr>
        <w:tblStyle w:val="Tabelamrea"/>
        <w:tblW w:w="0" w:type="auto"/>
        <w:tblInd w:w="-147" w:type="dxa"/>
        <w:tblLook w:val="04A0" w:firstRow="1" w:lastRow="0" w:firstColumn="1" w:lastColumn="0" w:noHBand="0" w:noVBand="1"/>
      </w:tblPr>
      <w:tblGrid>
        <w:gridCol w:w="8642"/>
      </w:tblGrid>
      <w:tr w:rsidR="006171B2" w:rsidTr="006171B2">
        <w:trPr>
          <w:trHeight w:val="1809"/>
        </w:trPr>
        <w:tc>
          <w:tcPr>
            <w:tcW w:w="8642" w:type="dxa"/>
            <w:shd w:val="clear" w:color="auto" w:fill="B4C6E7" w:themeFill="accent1" w:themeFillTint="66"/>
          </w:tcPr>
          <w:p w:rsidR="000D691B" w:rsidRPr="00EC0766" w:rsidRDefault="00B51BD6" w:rsidP="000D691B">
            <w:pPr>
              <w:pStyle w:val="NeAdnumber-level1"/>
              <w:numPr>
                <w:ilvl w:val="0"/>
                <w:numId w:val="0"/>
              </w:numPr>
              <w:rPr>
                <w:i/>
              </w:rPr>
            </w:pPr>
            <w:r w:rsidRPr="00EC0766">
              <w:rPr>
                <w:i/>
              </w:rPr>
              <w:t xml:space="preserve">1. </w:t>
            </w:r>
            <w:r w:rsidR="00457B60">
              <w:rPr>
                <w:i/>
              </w:rPr>
              <w:t xml:space="preserve">The bank </w:t>
            </w:r>
            <w:r w:rsidR="000D691B" w:rsidRPr="00EC0766">
              <w:rPr>
                <w:i/>
              </w:rPr>
              <w:t xml:space="preserve">should explicitly link the development of the RAF to the budget process and annual business strategy review, taking into account the bank’s strategic objectives and multi-year strategy plan. In particular, there should be close alignment and coordination between the annual budget and RAS </w:t>
            </w:r>
            <w:r w:rsidR="00FE363A" w:rsidRPr="00EC0766">
              <w:rPr>
                <w:i/>
              </w:rPr>
              <w:t xml:space="preserve">approval </w:t>
            </w:r>
            <w:r w:rsidR="000D691B" w:rsidRPr="00EC0766">
              <w:rPr>
                <w:i/>
              </w:rPr>
              <w:t xml:space="preserve">processes. </w:t>
            </w:r>
          </w:p>
          <w:p w:rsidR="006171B2" w:rsidRPr="000D691B" w:rsidRDefault="00CA651B" w:rsidP="000D691B">
            <w:pPr>
              <w:pStyle w:val="NeAdnumber-level1"/>
              <w:numPr>
                <w:ilvl w:val="0"/>
                <w:numId w:val="0"/>
              </w:numPr>
              <w:rPr>
                <w:i/>
              </w:rPr>
            </w:pPr>
            <w:r w:rsidRPr="00EC0766">
              <w:rPr>
                <w:i/>
              </w:rPr>
              <w:t xml:space="preserve">2. </w:t>
            </w:r>
            <w:r w:rsidR="00DA78A4" w:rsidRPr="00EC0766">
              <w:rPr>
                <w:i/>
              </w:rPr>
              <w:t xml:space="preserve">RAF is primarily a top-down process and should be owned by the very top of the </w:t>
            </w:r>
            <w:r w:rsidR="00DF0EC7">
              <w:rPr>
                <w:i/>
              </w:rPr>
              <w:t>bank</w:t>
            </w:r>
            <w:r w:rsidR="00DA78A4" w:rsidRPr="00EC0766">
              <w:rPr>
                <w:i/>
              </w:rPr>
              <w:t xml:space="preserve">. </w:t>
            </w:r>
            <w:r w:rsidR="00A3210B">
              <w:rPr>
                <w:i/>
              </w:rPr>
              <w:t>In</w:t>
            </w:r>
            <w:r w:rsidR="00F04FC4">
              <w:rPr>
                <w:i/>
              </w:rPr>
              <w:t xml:space="preserve"> the</w:t>
            </w:r>
            <w:r w:rsidR="00A3210B">
              <w:rPr>
                <w:i/>
              </w:rPr>
              <w:t xml:space="preserve"> case of a two-tier board structure, </w:t>
            </w:r>
            <w:r w:rsidR="00094B25">
              <w:rPr>
                <w:i/>
              </w:rPr>
              <w:t xml:space="preserve">the </w:t>
            </w:r>
            <w:r w:rsidR="00DF0EC7">
              <w:rPr>
                <w:i/>
              </w:rPr>
              <w:t>bank</w:t>
            </w:r>
            <w:r w:rsidR="000D691B" w:rsidRPr="00EC0766">
              <w:rPr>
                <w:i/>
              </w:rPr>
              <w:t xml:space="preserve"> should assign clear responsibility to the SB for setting the </w:t>
            </w:r>
            <w:r w:rsidR="00094B25">
              <w:rPr>
                <w:i/>
              </w:rPr>
              <w:t>bank’s</w:t>
            </w:r>
            <w:r w:rsidR="000D691B" w:rsidRPr="00EC0766">
              <w:rPr>
                <w:i/>
              </w:rPr>
              <w:t xml:space="preserve"> </w:t>
            </w:r>
            <w:r w:rsidRPr="00EC0766">
              <w:rPr>
                <w:i/>
              </w:rPr>
              <w:t>RA</w:t>
            </w:r>
            <w:r w:rsidR="00E96D39">
              <w:rPr>
                <w:i/>
              </w:rPr>
              <w:t>P</w:t>
            </w:r>
            <w:r w:rsidRPr="00EC0766">
              <w:rPr>
                <w:i/>
              </w:rPr>
              <w:t>, approving its RAS and</w:t>
            </w:r>
            <w:r w:rsidR="000D691B" w:rsidRPr="00EC0766">
              <w:rPr>
                <w:i/>
              </w:rPr>
              <w:t xml:space="preserve"> ensuring that</w:t>
            </w:r>
            <w:r w:rsidRPr="00EC0766">
              <w:rPr>
                <w:i/>
              </w:rPr>
              <w:t xml:space="preserve"> </w:t>
            </w:r>
            <w:r w:rsidR="00E96D39" w:rsidRPr="00EC0766">
              <w:rPr>
                <w:i/>
              </w:rPr>
              <w:t>R</w:t>
            </w:r>
            <w:r w:rsidR="00E96D39">
              <w:rPr>
                <w:i/>
              </w:rPr>
              <w:t>AP</w:t>
            </w:r>
            <w:r w:rsidR="000D691B" w:rsidRPr="00EC0766">
              <w:rPr>
                <w:i/>
              </w:rPr>
              <w:t xml:space="preserve"> is aligned with the overall multi-year business strategy. </w:t>
            </w:r>
            <w:r w:rsidR="00D45C92">
              <w:rPr>
                <w:i/>
              </w:rPr>
              <w:t xml:space="preserve">The </w:t>
            </w:r>
            <w:r w:rsidR="00696994">
              <w:rPr>
                <w:i/>
              </w:rPr>
              <w:t xml:space="preserve">MgmtB needs to work with </w:t>
            </w:r>
            <w:r w:rsidR="00693B25">
              <w:rPr>
                <w:i/>
              </w:rPr>
              <w:t xml:space="preserve">the risk management </w:t>
            </w:r>
            <w:r w:rsidR="001224F5">
              <w:rPr>
                <w:i/>
              </w:rPr>
              <w:t>function</w:t>
            </w:r>
            <w:r w:rsidR="00693B25">
              <w:rPr>
                <w:i/>
              </w:rPr>
              <w:t xml:space="preserve"> to develop the RAP and RAS before </w:t>
            </w:r>
            <w:r w:rsidR="00F8651A">
              <w:rPr>
                <w:i/>
              </w:rPr>
              <w:t>the draft documentation is submitted to the SB for approval.</w:t>
            </w:r>
          </w:p>
        </w:tc>
      </w:tr>
    </w:tbl>
    <w:p w:rsidR="00520481" w:rsidRDefault="008D6CDC" w:rsidP="00520481">
      <w:pPr>
        <w:pStyle w:val="NeAdH42"/>
      </w:pPr>
      <w:r>
        <w:t>Discussion</w:t>
      </w:r>
    </w:p>
    <w:p w:rsidR="00FB4895" w:rsidRDefault="00FB4895" w:rsidP="00FB4895">
      <w:pPr>
        <w:pStyle w:val="NeAdnumber-level1"/>
      </w:pPr>
      <w:r>
        <w:t xml:space="preserve">The RAF is a crucial tool </w:t>
      </w:r>
      <w:r w:rsidR="00F04FC4">
        <w:t xml:space="preserve">for </w:t>
      </w:r>
      <w:r>
        <w:t xml:space="preserve">defining and executing a bank’s business strategy. By setting </w:t>
      </w:r>
      <w:r w:rsidR="00CA651B">
        <w:t>RAP</w:t>
      </w:r>
      <w:r>
        <w:t xml:space="preserve"> thresholds and limits across business lines and defining processes for managing them, it allows the people in charge of setting a bank’s business strategy</w:t>
      </w:r>
      <w:r w:rsidR="00FE363A">
        <w:t xml:space="preserve"> </w:t>
      </w:r>
      <w:r>
        <w:t xml:space="preserve">to oversee risk taking across the organisation as this strategy is implemented. The RAF should therefore be at the heart of a bank’s risk management framework and must inform and reflect the business objectives </w:t>
      </w:r>
      <w:r w:rsidR="00F04FC4">
        <w:t xml:space="preserve">that </w:t>
      </w:r>
      <w:r>
        <w:t xml:space="preserve">a bank wants to achieve. </w:t>
      </w:r>
    </w:p>
    <w:p w:rsidR="00FB4895" w:rsidRDefault="00FB4895" w:rsidP="00FB4895">
      <w:pPr>
        <w:pStyle w:val="NeAdnumber-level1"/>
      </w:pPr>
      <w:r>
        <w:t>The RAS, the budget, and the business strategy should all be reviewed annually</w:t>
      </w:r>
      <w:r w:rsidR="00B26250">
        <w:t>.</w:t>
      </w:r>
      <w:r>
        <w:t xml:space="preserve"> </w:t>
      </w:r>
      <w:r w:rsidR="00B26250">
        <w:t>B</w:t>
      </w:r>
      <w:r w:rsidR="00094B25">
        <w:t>anks</w:t>
      </w:r>
      <w:r>
        <w:t xml:space="preserve"> need to ensure that these three processes work together seamlessly and that changes in one of the frameworks are appropriately reflected in the others. </w:t>
      </w:r>
      <w:r w:rsidRPr="00EB44BC">
        <w:t>This includes a reg</w:t>
      </w:r>
      <w:r>
        <w:t>ular feedback loop between the aforementioned</w:t>
      </w:r>
      <w:r w:rsidRPr="00EB44BC">
        <w:t xml:space="preserve"> processes and close cooperation between the different teams involved.</w:t>
      </w:r>
      <w:r>
        <w:t xml:space="preserve"> In particular, there should be close alignment and coordination between the annual budget and RAS processes, i.e. the budget should be based on existing RAS indicators and the annual review of the RAS should reflect existing budget constraints. It is also important to note that internal stress testing of different risk areas and risk indicators is a key component in developing mature RAFs</w:t>
      </w:r>
      <w:r w:rsidR="00476CA5">
        <w:t>.</w:t>
      </w:r>
    </w:p>
    <w:p w:rsidR="00FB4895" w:rsidRDefault="00FE363A" w:rsidP="00FB4895">
      <w:pPr>
        <w:pStyle w:val="NeAdnumber-level1"/>
      </w:pPr>
      <w:r>
        <w:t>One way to link</w:t>
      </w:r>
      <w:r w:rsidR="00FB4895">
        <w:t xml:space="preserve"> the strategy and budget process</w:t>
      </w:r>
      <w:r>
        <w:t>es</w:t>
      </w:r>
      <w:r w:rsidR="00FB4895">
        <w:t xml:space="preserve"> on the one hand, </w:t>
      </w:r>
      <w:r w:rsidR="00F04FC4">
        <w:t xml:space="preserve">to </w:t>
      </w:r>
      <w:r w:rsidR="00FB4895">
        <w:t>the RA</w:t>
      </w:r>
      <w:r>
        <w:t>P</w:t>
      </w:r>
      <w:r w:rsidR="00FB4895">
        <w:t xml:space="preserve"> process on the other </w:t>
      </w:r>
      <w:r>
        <w:t xml:space="preserve">could consist </w:t>
      </w:r>
      <w:r w:rsidR="000F5F8F">
        <w:t>of</w:t>
      </w:r>
      <w:r w:rsidR="00FB4895">
        <w:t xml:space="preserve"> the following steps:</w:t>
      </w:r>
      <w:r w:rsidR="00FB4895">
        <w:rPr>
          <w:rStyle w:val="Sprotnaopomba-sklic"/>
        </w:rPr>
        <w:footnoteReference w:id="9"/>
      </w:r>
      <w:r w:rsidR="00FB4895">
        <w:t xml:space="preserve"> </w:t>
      </w:r>
    </w:p>
    <w:p w:rsidR="00FB4895" w:rsidRDefault="000F5F8F" w:rsidP="00FB4895">
      <w:pPr>
        <w:pStyle w:val="NeAdnumber-level2"/>
      </w:pPr>
      <w:r>
        <w:t>On</w:t>
      </w:r>
      <w:r w:rsidR="00B744AA">
        <w:t xml:space="preserve"> the basis of M</w:t>
      </w:r>
      <w:r>
        <w:t>gmt</w:t>
      </w:r>
      <w:r w:rsidR="00B744AA">
        <w:t xml:space="preserve">B proposals </w:t>
      </w:r>
      <w:r>
        <w:t xml:space="preserve">the SB </w:t>
      </w:r>
      <w:r w:rsidR="00FB4895">
        <w:t>set</w:t>
      </w:r>
      <w:r w:rsidR="00FE363A">
        <w:t>s</w:t>
      </w:r>
      <w:r w:rsidR="00AB5328">
        <w:t>/reviews</w:t>
      </w:r>
      <w:r w:rsidR="00FB4895">
        <w:t xml:space="preserve"> the bank’s </w:t>
      </w:r>
      <w:r w:rsidR="00AB5328">
        <w:t xml:space="preserve">long term </w:t>
      </w:r>
      <w:r w:rsidR="00FB4895">
        <w:t>strategic objectives taking into account the organisation’s current positioning in the market</w:t>
      </w:r>
      <w:r w:rsidR="00F11BFA">
        <w:t xml:space="preserve">, </w:t>
      </w:r>
      <w:r w:rsidR="00AB5328">
        <w:t>its competences</w:t>
      </w:r>
      <w:r w:rsidR="00DE5536">
        <w:t>,</w:t>
      </w:r>
      <w:r w:rsidR="00AB5328">
        <w:t xml:space="preserve"> culture</w:t>
      </w:r>
      <w:r w:rsidR="00DE5536">
        <w:t>,</w:t>
      </w:r>
      <w:r w:rsidR="00FE363A">
        <w:t xml:space="preserve"> and aspirations</w:t>
      </w:r>
      <w:r w:rsidR="00FB4895">
        <w:t>;</w:t>
      </w:r>
    </w:p>
    <w:p w:rsidR="00FB4895" w:rsidRDefault="009D6C94" w:rsidP="00FB4895">
      <w:pPr>
        <w:pStyle w:val="NeAdnumber-level2"/>
      </w:pPr>
      <w:r>
        <w:t>Based on</w:t>
      </w:r>
      <w:r w:rsidR="00AB5328">
        <w:t xml:space="preserve"> its </w:t>
      </w:r>
      <w:r w:rsidR="005349AE">
        <w:t>current capabilities and level of resources</w:t>
      </w:r>
      <w:r w:rsidR="00AB5328">
        <w:t xml:space="preserve"> the bank defines its risk capacity. This exercise is closely linked to the review of the recovery plan, as required by the BRRD</w:t>
      </w:r>
      <w:r w:rsidR="00C948EA">
        <w:rPr>
          <w:rStyle w:val="Sprotnaopomba-sklic"/>
        </w:rPr>
        <w:footnoteReference w:id="10"/>
      </w:r>
      <w:r w:rsidR="00AB5328">
        <w:t xml:space="preserve">.Ideally, a </w:t>
      </w:r>
      <w:r w:rsidR="00FB4895">
        <w:t>reverse stress test</w:t>
      </w:r>
      <w:r w:rsidR="00AB5328">
        <w:t xml:space="preserve"> would be used</w:t>
      </w:r>
      <w:r w:rsidR="00FB4895">
        <w:t xml:space="preserve"> to identify the events and risks that could jeopardise </w:t>
      </w:r>
      <w:r w:rsidR="00935B98">
        <w:t>the bank’s</w:t>
      </w:r>
      <w:r w:rsidR="00FB4895">
        <w:t xml:space="preserve"> continued operation.</w:t>
      </w:r>
    </w:p>
    <w:p w:rsidR="00AB5328" w:rsidRDefault="00AB5328" w:rsidP="00FB4895">
      <w:pPr>
        <w:pStyle w:val="NeAdnumber-level2"/>
      </w:pPr>
      <w:r>
        <w:t xml:space="preserve">With the </w:t>
      </w:r>
      <w:r w:rsidR="007F69F2">
        <w:t>bank</w:t>
      </w:r>
      <w:r>
        <w:t>’s risk capacity in mind, t</w:t>
      </w:r>
      <w:r w:rsidR="00FB4895">
        <w:t xml:space="preserve">he SB </w:t>
      </w:r>
      <w:r>
        <w:t>reviews (or rolls over)</w:t>
      </w:r>
      <w:r w:rsidR="00FB4895">
        <w:t xml:space="preserve"> the bank’s multi-year business </w:t>
      </w:r>
      <w:r>
        <w:t>plan</w:t>
      </w:r>
      <w:r w:rsidR="00FB4895">
        <w:t>.</w:t>
      </w:r>
    </w:p>
    <w:p w:rsidR="00FB4895" w:rsidRDefault="00FB4895" w:rsidP="00FB4895">
      <w:pPr>
        <w:pStyle w:val="NeAdnumber-level2"/>
      </w:pPr>
      <w:r>
        <w:t xml:space="preserve">This multi-year business </w:t>
      </w:r>
      <w:r w:rsidR="00935B98">
        <w:t xml:space="preserve">plan </w:t>
      </w:r>
      <w:r w:rsidR="00AB5328">
        <w:t>is</w:t>
      </w:r>
      <w:r>
        <w:t xml:space="preserve"> translated into annual budget</w:t>
      </w:r>
      <w:r w:rsidR="00AB5328">
        <w:t>(</w:t>
      </w:r>
      <w:r>
        <w:t>s</w:t>
      </w:r>
      <w:r w:rsidR="00AB5328">
        <w:t>)</w:t>
      </w:r>
      <w:r>
        <w:t xml:space="preserve"> </w:t>
      </w:r>
      <w:r w:rsidR="00B744AA">
        <w:t>and the relevant allocation of capital.</w:t>
      </w:r>
    </w:p>
    <w:p w:rsidR="00B744AA" w:rsidRDefault="00FB4895" w:rsidP="00403F40">
      <w:pPr>
        <w:pStyle w:val="NeAdnumber-level2"/>
      </w:pPr>
      <w:r>
        <w:t xml:space="preserve">The </w:t>
      </w:r>
      <w:r w:rsidR="00AB5328">
        <w:t xml:space="preserve">RAS is developed reflecting capital allocation and revenue targets in the budget, identifying appropriate RAP </w:t>
      </w:r>
      <w:r w:rsidR="007A00B3">
        <w:t>categories (“</w:t>
      </w:r>
      <w:r w:rsidR="00AB5328">
        <w:t>buckets</w:t>
      </w:r>
      <w:r w:rsidR="007A00B3">
        <w:t>”)</w:t>
      </w:r>
      <w:r w:rsidR="00AB5328">
        <w:t xml:space="preserve"> and setting thresholds and limits that all lie within </w:t>
      </w:r>
      <w:r>
        <w:t xml:space="preserve">the bank’s risk capacity. </w:t>
      </w:r>
    </w:p>
    <w:p w:rsidR="005F305C" w:rsidRDefault="00FA0B48">
      <w:pPr>
        <w:pStyle w:val="NeAdnumber-level1"/>
      </w:pPr>
      <w:r>
        <w:t>The s</w:t>
      </w:r>
      <w:r w:rsidR="00B744AA">
        <w:t xml:space="preserve">teps </w:t>
      </w:r>
      <w:r>
        <w:t xml:space="preserve">described </w:t>
      </w:r>
      <w:r w:rsidR="00D72305">
        <w:t>in</w:t>
      </w:r>
      <w:r>
        <w:t xml:space="preserve"> </w:t>
      </w:r>
      <w:r w:rsidR="00015825" w:rsidRPr="00E810E3">
        <w:t xml:space="preserve">points </w:t>
      </w:r>
      <w:r w:rsidR="0074753F" w:rsidRPr="00E810E3">
        <w:t>2</w:t>
      </w:r>
      <w:r w:rsidR="00E810E3" w:rsidRPr="00E810E3">
        <w:t>0</w:t>
      </w:r>
      <w:r w:rsidR="0074753F" w:rsidRPr="00E810E3">
        <w:t>.</w:t>
      </w:r>
      <w:r w:rsidR="00B744AA" w:rsidRPr="00E810E3">
        <w:t xml:space="preserve">1 and </w:t>
      </w:r>
      <w:r w:rsidR="0074753F" w:rsidRPr="00E810E3">
        <w:t>2</w:t>
      </w:r>
      <w:r w:rsidR="00E810E3" w:rsidRPr="00E810E3">
        <w:t>0</w:t>
      </w:r>
      <w:r w:rsidRPr="00E810E3">
        <w:t>.</w:t>
      </w:r>
      <w:r w:rsidR="00B744AA" w:rsidRPr="00E810E3">
        <w:t xml:space="preserve">2 </w:t>
      </w:r>
      <w:r w:rsidR="00E446D5" w:rsidRPr="00E810E3">
        <w:t xml:space="preserve">above </w:t>
      </w:r>
      <w:r w:rsidR="00B744AA" w:rsidRPr="00E810E3">
        <w:t xml:space="preserve">are combined to set the outer perimeter of strategy and risk appetite. Steps </w:t>
      </w:r>
      <w:r w:rsidR="0074753F" w:rsidRPr="00E810E3">
        <w:t>2</w:t>
      </w:r>
      <w:r w:rsidR="00E810E3" w:rsidRPr="00E810E3">
        <w:t>0</w:t>
      </w:r>
      <w:r w:rsidR="00B744AA" w:rsidRPr="00E810E3">
        <w:t xml:space="preserve">.3 to </w:t>
      </w:r>
      <w:r w:rsidR="0074753F" w:rsidRPr="00E810E3">
        <w:t>2</w:t>
      </w:r>
      <w:r w:rsidR="00E810E3" w:rsidRPr="00E810E3">
        <w:t>0</w:t>
      </w:r>
      <w:r w:rsidRPr="00E810E3">
        <w:t>.</w:t>
      </w:r>
      <w:r w:rsidR="00B744AA" w:rsidRPr="00E810E3">
        <w:t>5</w:t>
      </w:r>
      <w:r w:rsidR="00B744AA">
        <w:t xml:space="preserve"> provide the framework for the risk-return discussion that </w:t>
      </w:r>
      <w:r w:rsidR="00BC4617">
        <w:t>is at the core of</w:t>
      </w:r>
      <w:r w:rsidR="00B744AA">
        <w:t xml:space="preserve"> setting </w:t>
      </w:r>
      <w:r w:rsidR="00BC4617">
        <w:t xml:space="preserve">bank-wide business </w:t>
      </w:r>
      <w:r w:rsidR="00B744AA">
        <w:t>targets and allocating capital. In practice the</w:t>
      </w:r>
      <w:r w:rsidR="00542566">
        <w:t>se steps</w:t>
      </w:r>
      <w:r w:rsidR="00B744AA">
        <w:t xml:space="preserve"> should be combined</w:t>
      </w:r>
      <w:r>
        <w:t xml:space="preserve"> and taken </w:t>
      </w:r>
      <w:r w:rsidR="00D72305">
        <w:t>simultaneously</w:t>
      </w:r>
      <w:r w:rsidR="00B744AA">
        <w:t>.</w:t>
      </w:r>
    </w:p>
    <w:p w:rsidR="00FB4895" w:rsidRDefault="0053563F" w:rsidP="00C948EA">
      <w:pPr>
        <w:pStyle w:val="NeAdnumber-level1"/>
      </w:pPr>
      <w:r>
        <w:t xml:space="preserve">It is also important to note that </w:t>
      </w:r>
      <w:r w:rsidR="00FF5F19">
        <w:t xml:space="preserve">the </w:t>
      </w:r>
      <w:r w:rsidR="00B62C56">
        <w:t>SBRC</w:t>
      </w:r>
      <w:r w:rsidR="009D48B2">
        <w:t xml:space="preserve"> </w:t>
      </w:r>
      <w:r w:rsidR="009D48B2" w:rsidRPr="00FF5F19">
        <w:rPr>
          <w:i/>
        </w:rPr>
        <w:t>(</w:t>
      </w:r>
      <w:r w:rsidR="008B3FC4" w:rsidRPr="00FF5F19">
        <w:t xml:space="preserve">or the </w:t>
      </w:r>
      <w:r w:rsidR="00FF5F19">
        <w:t>combined</w:t>
      </w:r>
      <w:r w:rsidR="008A5B75">
        <w:t xml:space="preserve"> audit and risk committee</w:t>
      </w:r>
      <w:r w:rsidR="00B24C4A">
        <w:rPr>
          <w:rStyle w:val="Sprotnaopomba-sklic"/>
        </w:rPr>
        <w:footnoteReference w:id="11"/>
      </w:r>
      <w:r w:rsidR="008A5B75">
        <w:t>)</w:t>
      </w:r>
      <w:r w:rsidR="00396A6E">
        <w:t xml:space="preserve"> plays an important role in preparing and supporting the work of the whole SB in the area of risk appetite.</w:t>
      </w:r>
      <w:r w:rsidR="00B62C56">
        <w:t xml:space="preserve"> </w:t>
      </w:r>
      <w:r w:rsidR="00AB0589">
        <w:t>Th</w:t>
      </w:r>
      <w:r w:rsidR="001A52A5">
        <w:t>e</w:t>
      </w:r>
      <w:r w:rsidR="00AB0589">
        <w:t xml:space="preserve"> advisory role of the SBRC </w:t>
      </w:r>
      <w:r w:rsidR="0027308C">
        <w:t xml:space="preserve">regarding the bank’s RAP (“propensity to assume risks”) and risk management strategy is </w:t>
      </w:r>
      <w:r w:rsidR="000B4D7B">
        <w:t xml:space="preserve">spelled out in Article 51 of the Slovenian </w:t>
      </w:r>
      <w:r w:rsidR="00CC26EA">
        <w:t>B</w:t>
      </w:r>
      <w:r w:rsidR="000B4D7B">
        <w:t>anking Act of 2015.</w:t>
      </w:r>
      <w:r w:rsidR="00CC26EA">
        <w:t xml:space="preserve"> </w:t>
      </w:r>
      <w:r w:rsidR="00CC26EA" w:rsidDel="00D614F7">
        <w:t xml:space="preserve">Article 49 of the same act </w:t>
      </w:r>
      <w:r w:rsidR="00645196" w:rsidDel="00D614F7">
        <w:t xml:space="preserve">stipulates that the members of the SBRC should have </w:t>
      </w:r>
      <w:r w:rsidR="000C2D60" w:rsidDel="00D614F7">
        <w:t>“</w:t>
      </w:r>
      <w:r w:rsidR="00645196" w:rsidRPr="000C2D60" w:rsidDel="00D614F7">
        <w:rPr>
          <w:i/>
        </w:rPr>
        <w:t xml:space="preserve">the </w:t>
      </w:r>
      <w:r w:rsidR="000C2D60" w:rsidRPr="000C2D60" w:rsidDel="00D614F7">
        <w:rPr>
          <w:i/>
        </w:rPr>
        <w:t>requisite knowledge, skills and experience</w:t>
      </w:r>
      <w:r w:rsidR="000C2D60" w:rsidDel="00D614F7">
        <w:t xml:space="preserve">” </w:t>
      </w:r>
      <w:r w:rsidR="00D72305" w:rsidDel="00D614F7">
        <w:t xml:space="preserve">to </w:t>
      </w:r>
      <w:r w:rsidR="000C2D60" w:rsidDel="00D614F7">
        <w:t>understand</w:t>
      </w:r>
      <w:r w:rsidR="00D72305" w:rsidDel="00D614F7">
        <w:t xml:space="preserve"> </w:t>
      </w:r>
      <w:r w:rsidR="000C2D60" w:rsidDel="00D614F7">
        <w:t>and monitor the bank’s risk management strategy and RAP.</w:t>
      </w:r>
    </w:p>
    <w:p w:rsidR="00187EBA" w:rsidRDefault="00187EBA" w:rsidP="00187EBA">
      <w:pPr>
        <w:pStyle w:val="NeAdnumber-level1"/>
      </w:pPr>
      <w:r>
        <w:t xml:space="preserve">The </w:t>
      </w:r>
      <w:r w:rsidR="00D72305">
        <w:t xml:space="preserve">following </w:t>
      </w:r>
      <w:r>
        <w:t>g</w:t>
      </w:r>
      <w:r w:rsidR="00B744AA">
        <w:t>raph</w:t>
      </w:r>
      <w:r>
        <w:t xml:space="preserve"> </w:t>
      </w:r>
      <w:r w:rsidR="004D0B87">
        <w:t xml:space="preserve">A </w:t>
      </w:r>
      <w:r>
        <w:t xml:space="preserve">further illustrates </w:t>
      </w:r>
      <w:r w:rsidR="00D509CA">
        <w:t>the</w:t>
      </w:r>
      <w:r>
        <w:t xml:space="preserve"> approach</w:t>
      </w:r>
      <w:r w:rsidR="00D509CA">
        <w:t xml:space="preserve"> outlined above</w:t>
      </w:r>
      <w:r>
        <w:t>:</w:t>
      </w:r>
    </w:p>
    <w:p w:rsidR="005B3494" w:rsidRDefault="005B3494" w:rsidP="00647632">
      <w:pPr>
        <w:pStyle w:val="NeAdnumber-level2"/>
        <w:numPr>
          <w:ilvl w:val="0"/>
          <w:numId w:val="0"/>
        </w:numPr>
        <w:ind w:left="567"/>
      </w:pPr>
    </w:p>
    <w:p w:rsidR="0067464D" w:rsidRDefault="0067464D" w:rsidP="004A6E17">
      <w:pPr>
        <w:pStyle w:val="NeAdnumber-level1"/>
        <w:numPr>
          <w:ilvl w:val="0"/>
          <w:numId w:val="0"/>
        </w:numPr>
        <w:ind w:left="567"/>
      </w:pPr>
    </w:p>
    <w:p w:rsidR="00E815BD" w:rsidRDefault="00E815BD" w:rsidP="004A6E17">
      <w:pPr>
        <w:pStyle w:val="NeAdnumber-level1"/>
        <w:numPr>
          <w:ilvl w:val="0"/>
          <w:numId w:val="0"/>
        </w:numPr>
        <w:ind w:left="567"/>
      </w:pPr>
    </w:p>
    <w:p w:rsidR="00E815BD" w:rsidRDefault="00E815BD" w:rsidP="004A6E17">
      <w:pPr>
        <w:pStyle w:val="NeAdnumber-level1"/>
        <w:numPr>
          <w:ilvl w:val="0"/>
          <w:numId w:val="0"/>
        </w:numPr>
        <w:ind w:left="567"/>
      </w:pPr>
    </w:p>
    <w:p w:rsidR="00E815BD" w:rsidRDefault="00E815BD" w:rsidP="004A6E17">
      <w:pPr>
        <w:pStyle w:val="NeAdnumber-level1"/>
        <w:numPr>
          <w:ilvl w:val="0"/>
          <w:numId w:val="0"/>
        </w:numPr>
        <w:ind w:left="567"/>
      </w:pPr>
    </w:p>
    <w:p w:rsidR="00487CF5" w:rsidRDefault="00DF5E84" w:rsidP="004A6E17">
      <w:pPr>
        <w:pStyle w:val="NeAdnumber-level1"/>
        <w:numPr>
          <w:ilvl w:val="0"/>
          <w:numId w:val="0"/>
        </w:numPr>
        <w:ind w:left="567"/>
      </w:pPr>
      <w:r w:rsidRPr="0074753F">
        <w:rPr>
          <w:noProof/>
          <w:lang w:val="sl-SI" w:eastAsia="sl-SI"/>
        </w:rPr>
        <w:drawing>
          <wp:anchor distT="0" distB="0" distL="114300" distR="114300" simplePos="0" relativeHeight="251654144" behindDoc="0" locked="0" layoutInCell="1" allowOverlap="1" wp14:anchorId="4AF0F6C4" wp14:editId="354CD743">
            <wp:simplePos x="0" y="0"/>
            <wp:positionH relativeFrom="page">
              <wp:posOffset>166702</wp:posOffset>
            </wp:positionH>
            <wp:positionV relativeFrom="paragraph">
              <wp:posOffset>434810</wp:posOffset>
            </wp:positionV>
            <wp:extent cx="7265670" cy="39751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265670" cy="3975100"/>
                    </a:xfrm>
                    <a:prstGeom prst="rect">
                      <a:avLst/>
                    </a:prstGeom>
                    <a:noFill/>
                  </pic:spPr>
                </pic:pic>
              </a:graphicData>
            </a:graphic>
            <wp14:sizeRelH relativeFrom="page">
              <wp14:pctWidth>0</wp14:pctWidth>
            </wp14:sizeRelH>
            <wp14:sizeRelV relativeFrom="page">
              <wp14:pctHeight>0</wp14:pctHeight>
            </wp14:sizeRelV>
          </wp:anchor>
        </w:drawing>
      </w:r>
    </w:p>
    <w:p w:rsidR="00487CF5" w:rsidRDefault="00487CF5" w:rsidP="004A6E17">
      <w:pPr>
        <w:pStyle w:val="NeAdnumber-level1"/>
        <w:numPr>
          <w:ilvl w:val="0"/>
          <w:numId w:val="0"/>
        </w:numPr>
        <w:ind w:left="567"/>
      </w:pPr>
    </w:p>
    <w:tbl>
      <w:tblPr>
        <w:tblStyle w:val="Tabelamrea"/>
        <w:tblW w:w="0" w:type="auto"/>
        <w:tblInd w:w="-147" w:type="dxa"/>
        <w:tblLook w:val="04A0" w:firstRow="1" w:lastRow="0" w:firstColumn="1" w:lastColumn="0" w:noHBand="0" w:noVBand="1"/>
      </w:tblPr>
      <w:tblGrid>
        <w:gridCol w:w="8642"/>
      </w:tblGrid>
      <w:tr w:rsidR="00F7365B" w:rsidTr="00D43781">
        <w:trPr>
          <w:trHeight w:val="1809"/>
        </w:trPr>
        <w:tc>
          <w:tcPr>
            <w:tcW w:w="8642" w:type="dxa"/>
            <w:shd w:val="clear" w:color="auto" w:fill="F7CAAC" w:themeFill="accent2" w:themeFillTint="66"/>
          </w:tcPr>
          <w:p w:rsidR="00620DFD" w:rsidRPr="00CD377C" w:rsidRDefault="00620DFD" w:rsidP="007C5EAF">
            <w:pPr>
              <w:pStyle w:val="NeAdnumber-level1"/>
              <w:numPr>
                <w:ilvl w:val="0"/>
                <w:numId w:val="0"/>
              </w:numPr>
              <w:rPr>
                <w:b/>
              </w:rPr>
            </w:pPr>
            <w:r w:rsidRPr="00CD377C">
              <w:rPr>
                <w:b/>
              </w:rPr>
              <w:t>Case Box 1</w:t>
            </w:r>
          </w:p>
          <w:p w:rsidR="001E4913" w:rsidRDefault="0081715B" w:rsidP="007C5EAF">
            <w:pPr>
              <w:pStyle w:val="NeAdnumber-level1"/>
              <w:numPr>
                <w:ilvl w:val="0"/>
                <w:numId w:val="0"/>
              </w:numPr>
              <w:rPr>
                <w:i/>
              </w:rPr>
            </w:pPr>
            <w:r>
              <w:rPr>
                <w:i/>
              </w:rPr>
              <w:t>B</w:t>
            </w:r>
            <w:r w:rsidR="00A2232E">
              <w:rPr>
                <w:i/>
              </w:rPr>
              <w:t xml:space="preserve">ank A </w:t>
            </w:r>
            <w:r>
              <w:rPr>
                <w:i/>
              </w:rPr>
              <w:t>sets</w:t>
            </w:r>
            <w:r w:rsidR="00DB2576" w:rsidRPr="00DB0AD9">
              <w:rPr>
                <w:i/>
              </w:rPr>
              <w:t xml:space="preserve"> the budget for the coming year towards the end of the current year. The budget forecasts for the coming year reflect the </w:t>
            </w:r>
            <w:r w:rsidR="00CA651B">
              <w:rPr>
                <w:i/>
              </w:rPr>
              <w:t>RAP</w:t>
            </w:r>
            <w:r w:rsidR="00DB2576" w:rsidRPr="00DB0AD9">
              <w:rPr>
                <w:i/>
              </w:rPr>
              <w:t xml:space="preserve"> levels and limits contained in the RAS for the current year. Based on these budget forecasts the annual review of the RAS starts </w:t>
            </w:r>
            <w:r w:rsidR="00D72305">
              <w:rPr>
                <w:i/>
              </w:rPr>
              <w:t>in</w:t>
            </w:r>
            <w:r w:rsidR="00DB2576" w:rsidRPr="00DB0AD9">
              <w:rPr>
                <w:i/>
              </w:rPr>
              <w:t xml:space="preserve"> Q1 of the year ahead.</w:t>
            </w:r>
            <w:r>
              <w:rPr>
                <w:i/>
              </w:rPr>
              <w:t xml:space="preserve"> </w:t>
            </w:r>
          </w:p>
          <w:p w:rsidR="00577EE6" w:rsidRPr="001E4913" w:rsidRDefault="0081715B" w:rsidP="007C5EAF">
            <w:pPr>
              <w:pStyle w:val="NeAdnumber-level1"/>
              <w:numPr>
                <w:ilvl w:val="0"/>
                <w:numId w:val="0"/>
              </w:numPr>
            </w:pPr>
            <w:r w:rsidRPr="001E4913">
              <w:t xml:space="preserve">This approach is different </w:t>
            </w:r>
            <w:r w:rsidR="001C5B25">
              <w:t>from</w:t>
            </w:r>
            <w:r w:rsidRPr="001E4913">
              <w:t xml:space="preserve"> the example describe</w:t>
            </w:r>
            <w:r w:rsidR="002D2CE0" w:rsidRPr="001E4913">
              <w:t>d</w:t>
            </w:r>
            <w:r w:rsidRPr="001E4913">
              <w:t xml:space="preserve"> above: it discusses RAP and budgets </w:t>
            </w:r>
            <w:r w:rsidR="00D72305" w:rsidRPr="001E4913">
              <w:t>at</w:t>
            </w:r>
            <w:r w:rsidRPr="001E4913">
              <w:t xml:space="preserve"> different </w:t>
            </w:r>
            <w:r w:rsidR="00D72305" w:rsidRPr="001E4913">
              <w:t xml:space="preserve">stages </w:t>
            </w:r>
            <w:r w:rsidRPr="001E4913">
              <w:t xml:space="preserve">and creates a sequential circle of adjustment of both processes. If </w:t>
            </w:r>
            <w:r w:rsidR="002D2CE0" w:rsidRPr="001E4913">
              <w:t>efficiently</w:t>
            </w:r>
            <w:r w:rsidRPr="001E4913">
              <w:t xml:space="preserve"> executed, it could be as effective as the approach described in the text</w:t>
            </w:r>
            <w:r w:rsidR="001E4913" w:rsidRPr="001E4913">
              <w:t xml:space="preserve"> above</w:t>
            </w:r>
            <w:r w:rsidR="002D2CE0" w:rsidRPr="001E4913">
              <w:t>.</w:t>
            </w:r>
          </w:p>
        </w:tc>
      </w:tr>
    </w:tbl>
    <w:p w:rsidR="00F21F47" w:rsidRDefault="00F21F47" w:rsidP="004202FB">
      <w:pPr>
        <w:pStyle w:val="NeAdH3"/>
        <w:keepNext/>
      </w:pPr>
      <w:bookmarkStart w:id="16" w:name="_Toc510622692"/>
      <w:r>
        <w:t>Preparing, Reviewing, and Reporting the RAS</w:t>
      </w:r>
      <w:bookmarkEnd w:id="15"/>
      <w:bookmarkEnd w:id="16"/>
      <w:r w:rsidR="003A712D">
        <w:t xml:space="preserve"> </w:t>
      </w:r>
    </w:p>
    <w:p w:rsidR="0080600F" w:rsidRDefault="00BB681F" w:rsidP="00BB681F">
      <w:pPr>
        <w:pStyle w:val="NeAdH42"/>
        <w:keepNext/>
      </w:pPr>
      <w:r>
        <w:t>Guidelines</w:t>
      </w:r>
    </w:p>
    <w:tbl>
      <w:tblPr>
        <w:tblStyle w:val="Tabelamrea"/>
        <w:tblW w:w="0" w:type="auto"/>
        <w:tblInd w:w="-147" w:type="dxa"/>
        <w:tblLook w:val="04A0" w:firstRow="1" w:lastRow="0" w:firstColumn="1" w:lastColumn="0" w:noHBand="0" w:noVBand="1"/>
      </w:tblPr>
      <w:tblGrid>
        <w:gridCol w:w="8642"/>
      </w:tblGrid>
      <w:tr w:rsidR="00903736" w:rsidTr="00250A41">
        <w:trPr>
          <w:trHeight w:val="1809"/>
        </w:trPr>
        <w:tc>
          <w:tcPr>
            <w:tcW w:w="8642" w:type="dxa"/>
            <w:shd w:val="clear" w:color="auto" w:fill="B4C6E7" w:themeFill="accent1" w:themeFillTint="66"/>
          </w:tcPr>
          <w:p w:rsidR="001741A3" w:rsidRPr="00EC0766" w:rsidRDefault="00A42957" w:rsidP="004202FB">
            <w:pPr>
              <w:pStyle w:val="NeAdnumber-level1"/>
              <w:keepNext/>
              <w:numPr>
                <w:ilvl w:val="0"/>
                <w:numId w:val="0"/>
              </w:numPr>
              <w:rPr>
                <w:i/>
              </w:rPr>
            </w:pPr>
            <w:r>
              <w:rPr>
                <w:i/>
              </w:rPr>
              <w:t>3</w:t>
            </w:r>
            <w:r w:rsidR="00DA78A4" w:rsidRPr="00EC0766">
              <w:rPr>
                <w:i/>
              </w:rPr>
              <w:t>.</w:t>
            </w:r>
            <w:r w:rsidR="00D731DE" w:rsidRPr="00EC0766">
              <w:rPr>
                <w:i/>
              </w:rPr>
              <w:t xml:space="preserve"> </w:t>
            </w:r>
            <w:r w:rsidR="0046499F" w:rsidRPr="00EC0766">
              <w:rPr>
                <w:i/>
              </w:rPr>
              <w:t xml:space="preserve">The RAF should have a formal and transparent governance structure. </w:t>
            </w:r>
            <w:r w:rsidR="001741A3" w:rsidRPr="00EC0766">
              <w:rPr>
                <w:i/>
              </w:rPr>
              <w:t>There should be clear role</w:t>
            </w:r>
            <w:r w:rsidR="009E50B3">
              <w:rPr>
                <w:i/>
              </w:rPr>
              <w:t>s</w:t>
            </w:r>
            <w:r w:rsidR="001741A3" w:rsidRPr="00EC0766">
              <w:rPr>
                <w:i/>
              </w:rPr>
              <w:t xml:space="preserve"> for all </w:t>
            </w:r>
            <w:r w:rsidR="00CC152F">
              <w:rPr>
                <w:i/>
              </w:rPr>
              <w:t xml:space="preserve">internal </w:t>
            </w:r>
            <w:r w:rsidR="001741A3" w:rsidRPr="00EC0766">
              <w:rPr>
                <w:i/>
              </w:rPr>
              <w:t xml:space="preserve">stakeholders </w:t>
            </w:r>
            <w:r w:rsidR="00DA78A4" w:rsidRPr="00EC0766">
              <w:rPr>
                <w:i/>
              </w:rPr>
              <w:t>i.e.</w:t>
            </w:r>
            <w:r w:rsidR="00903736" w:rsidRPr="00EC0766">
              <w:rPr>
                <w:i/>
              </w:rPr>
              <w:t xml:space="preserve"> the risk management function, senior management</w:t>
            </w:r>
            <w:r w:rsidR="00266625">
              <w:rPr>
                <w:rStyle w:val="Sprotnaopomba-sklic"/>
                <w:i/>
              </w:rPr>
              <w:footnoteReference w:id="12"/>
            </w:r>
            <w:r w:rsidR="00903736" w:rsidRPr="00EC0766">
              <w:rPr>
                <w:i/>
              </w:rPr>
              <w:t xml:space="preserve">, </w:t>
            </w:r>
            <w:r w:rsidR="00D731DE" w:rsidRPr="00EC0766">
              <w:rPr>
                <w:i/>
              </w:rPr>
              <w:t>the M</w:t>
            </w:r>
            <w:r w:rsidR="003D0FEC">
              <w:rPr>
                <w:i/>
              </w:rPr>
              <w:t>gmt</w:t>
            </w:r>
            <w:r w:rsidR="00D731DE" w:rsidRPr="00EC0766">
              <w:rPr>
                <w:i/>
              </w:rPr>
              <w:t xml:space="preserve">B, </w:t>
            </w:r>
            <w:r w:rsidR="00903736" w:rsidRPr="00EC0766">
              <w:rPr>
                <w:i/>
              </w:rPr>
              <w:t xml:space="preserve">the SBRC, and the SB. In particular, </w:t>
            </w:r>
            <w:r w:rsidR="00457B60">
              <w:rPr>
                <w:i/>
              </w:rPr>
              <w:t xml:space="preserve">the </w:t>
            </w:r>
            <w:r w:rsidR="00903736" w:rsidRPr="00EC0766">
              <w:rPr>
                <w:i/>
              </w:rPr>
              <w:t>bank need</w:t>
            </w:r>
            <w:r w:rsidR="00457B60">
              <w:rPr>
                <w:i/>
              </w:rPr>
              <w:t>s</w:t>
            </w:r>
            <w:r w:rsidR="00903736" w:rsidRPr="00EC0766">
              <w:rPr>
                <w:i/>
              </w:rPr>
              <w:t xml:space="preserve"> to be able to demonstrate that the SB and the SBRC are fully engaged in the RAF development process by actively challenging assumptions and recommendations made by the risk management function and senior management.</w:t>
            </w:r>
          </w:p>
          <w:p w:rsidR="00903736" w:rsidRPr="00EC0766" w:rsidRDefault="00A42957" w:rsidP="004202FB">
            <w:pPr>
              <w:pStyle w:val="NeAdnumber-level1"/>
              <w:keepNext/>
              <w:numPr>
                <w:ilvl w:val="0"/>
                <w:numId w:val="0"/>
              </w:numPr>
              <w:rPr>
                <w:i/>
              </w:rPr>
            </w:pPr>
            <w:r>
              <w:rPr>
                <w:i/>
              </w:rPr>
              <w:t>4</w:t>
            </w:r>
            <w:r w:rsidR="001741A3" w:rsidRPr="00EC0766">
              <w:rPr>
                <w:i/>
              </w:rPr>
              <w:t xml:space="preserve">. RAF should promote in-depth discussions </w:t>
            </w:r>
            <w:r w:rsidR="0062247A">
              <w:rPr>
                <w:i/>
              </w:rPr>
              <w:t xml:space="preserve">and challenge </w:t>
            </w:r>
            <w:r w:rsidR="001741A3" w:rsidRPr="00EC0766">
              <w:rPr>
                <w:i/>
              </w:rPr>
              <w:t>among the stakeholders at every level</w:t>
            </w:r>
            <w:r w:rsidR="00AD5D90">
              <w:rPr>
                <w:i/>
              </w:rPr>
              <w:t xml:space="preserve"> regarding </w:t>
            </w:r>
            <w:r w:rsidR="001741A3" w:rsidRPr="00EC0766">
              <w:rPr>
                <w:i/>
              </w:rPr>
              <w:t>RAF assumptions, design, metrics</w:t>
            </w:r>
            <w:r w:rsidR="00AD5D90">
              <w:rPr>
                <w:i/>
              </w:rPr>
              <w:t>,</w:t>
            </w:r>
            <w:r w:rsidR="001741A3" w:rsidRPr="00EC0766">
              <w:rPr>
                <w:i/>
              </w:rPr>
              <w:t xml:space="preserve"> and implementation.</w:t>
            </w:r>
          </w:p>
          <w:p w:rsidR="00903736" w:rsidRPr="00EC0766" w:rsidRDefault="00A42957" w:rsidP="004202FB">
            <w:pPr>
              <w:pStyle w:val="NeAdnumber-level1"/>
              <w:keepNext/>
              <w:numPr>
                <w:ilvl w:val="0"/>
                <w:numId w:val="0"/>
              </w:numPr>
              <w:rPr>
                <w:i/>
              </w:rPr>
            </w:pPr>
            <w:r>
              <w:rPr>
                <w:i/>
              </w:rPr>
              <w:t>5</w:t>
            </w:r>
            <w:r w:rsidR="00D731DE" w:rsidRPr="00EC0766">
              <w:rPr>
                <w:i/>
              </w:rPr>
              <w:t xml:space="preserve">. </w:t>
            </w:r>
            <w:r w:rsidR="0004238E">
              <w:rPr>
                <w:i/>
              </w:rPr>
              <w:t>The internal s</w:t>
            </w:r>
            <w:r w:rsidR="001741A3" w:rsidRPr="00EC0766">
              <w:rPr>
                <w:i/>
              </w:rPr>
              <w:t xml:space="preserve">takeholders should monitor </w:t>
            </w:r>
            <w:r w:rsidR="00336996">
              <w:rPr>
                <w:i/>
              </w:rPr>
              <w:t xml:space="preserve">the bank’s risk profile and </w:t>
            </w:r>
            <w:r w:rsidR="00336996" w:rsidRPr="00336996">
              <w:rPr>
                <w:i/>
              </w:rPr>
              <w:t xml:space="preserve">RAF implementation </w:t>
            </w:r>
            <w:r w:rsidR="001741A3" w:rsidRPr="00EC0766">
              <w:rPr>
                <w:i/>
              </w:rPr>
              <w:t xml:space="preserve">through the use of </w:t>
            </w:r>
            <w:r w:rsidR="00903736" w:rsidRPr="00EC0766">
              <w:rPr>
                <w:i/>
              </w:rPr>
              <w:t>comprehensive and user-friendly dashboards</w:t>
            </w:r>
            <w:r w:rsidR="00E300D5">
              <w:rPr>
                <w:i/>
              </w:rPr>
              <w:t xml:space="preserve"> on a regular basis</w:t>
            </w:r>
            <w:r w:rsidR="00DB4B1A">
              <w:rPr>
                <w:i/>
              </w:rPr>
              <w:t xml:space="preserve">. At the SB and SBRC level, </w:t>
            </w:r>
            <w:r w:rsidR="00E300D5">
              <w:rPr>
                <w:i/>
              </w:rPr>
              <w:t>the dashboard should cover</w:t>
            </w:r>
            <w:r w:rsidR="00903736" w:rsidRPr="00EC0766">
              <w:rPr>
                <w:i/>
              </w:rPr>
              <w:t xml:space="preserve"> no more than 15 main risk indicators </w:t>
            </w:r>
            <w:r w:rsidR="00961D50">
              <w:rPr>
                <w:i/>
              </w:rPr>
              <w:t>based on</w:t>
            </w:r>
            <w:r w:rsidR="00903736" w:rsidRPr="00EC0766">
              <w:rPr>
                <w:i/>
              </w:rPr>
              <w:t xml:space="preserve"> the bank’s </w:t>
            </w:r>
            <w:r w:rsidR="00961D50">
              <w:rPr>
                <w:i/>
              </w:rPr>
              <w:t xml:space="preserve">(and group’s) </w:t>
            </w:r>
            <w:r w:rsidR="00903736" w:rsidRPr="00EC0766">
              <w:rPr>
                <w:i/>
              </w:rPr>
              <w:t>material risk areas</w:t>
            </w:r>
            <w:r w:rsidR="001741A3" w:rsidRPr="00EC0766">
              <w:rPr>
                <w:i/>
              </w:rPr>
              <w:t xml:space="preserve"> or </w:t>
            </w:r>
            <w:r w:rsidR="0004238E" w:rsidRPr="00EC0766">
              <w:rPr>
                <w:i/>
              </w:rPr>
              <w:t>businesses</w:t>
            </w:r>
            <w:r w:rsidR="0004238E">
              <w:rPr>
                <w:i/>
              </w:rPr>
              <w:t>.</w:t>
            </w:r>
            <w:r w:rsidR="000C0D93">
              <w:rPr>
                <w:i/>
              </w:rPr>
              <w:t xml:space="preserve"> </w:t>
            </w:r>
          </w:p>
          <w:p w:rsidR="00223707" w:rsidRPr="000D691B" w:rsidRDefault="00A42957" w:rsidP="004202FB">
            <w:pPr>
              <w:pStyle w:val="NeAdnumber-level1"/>
              <w:keepNext/>
              <w:numPr>
                <w:ilvl w:val="0"/>
                <w:numId w:val="0"/>
              </w:numPr>
              <w:rPr>
                <w:i/>
              </w:rPr>
            </w:pPr>
            <w:r>
              <w:rPr>
                <w:i/>
              </w:rPr>
              <w:t>6</w:t>
            </w:r>
            <w:r w:rsidR="001741A3" w:rsidRPr="00EC0766">
              <w:rPr>
                <w:i/>
              </w:rPr>
              <w:t xml:space="preserve">. </w:t>
            </w:r>
            <w:r w:rsidR="00223707" w:rsidRPr="00EC0766">
              <w:rPr>
                <w:i/>
              </w:rPr>
              <w:t>The RA</w:t>
            </w:r>
            <w:r w:rsidR="0062247A">
              <w:rPr>
                <w:i/>
              </w:rPr>
              <w:t>S</w:t>
            </w:r>
            <w:r w:rsidR="00223707" w:rsidRPr="00EC0766">
              <w:rPr>
                <w:i/>
              </w:rPr>
              <w:t xml:space="preserve"> should be a dynamic, living document that is periodically</w:t>
            </w:r>
            <w:r w:rsidR="0046499F" w:rsidRPr="00EC0766">
              <w:rPr>
                <w:i/>
              </w:rPr>
              <w:t>, at least annually,</w:t>
            </w:r>
            <w:r w:rsidR="00223707" w:rsidRPr="00EC0766">
              <w:rPr>
                <w:i/>
              </w:rPr>
              <w:t xml:space="preserve"> calibrated, in particular with respect to </w:t>
            </w:r>
            <w:r w:rsidR="00CA651B" w:rsidRPr="00EC0766">
              <w:rPr>
                <w:i/>
              </w:rPr>
              <w:t>RAP</w:t>
            </w:r>
            <w:r w:rsidR="00223707" w:rsidRPr="00EC0766">
              <w:rPr>
                <w:i/>
              </w:rPr>
              <w:t xml:space="preserve"> limits and capital allocation. When the RA</w:t>
            </w:r>
            <w:r w:rsidR="0062247A">
              <w:rPr>
                <w:i/>
              </w:rPr>
              <w:t>S</w:t>
            </w:r>
            <w:r w:rsidR="00223707" w:rsidRPr="00EC0766">
              <w:rPr>
                <w:i/>
              </w:rPr>
              <w:t xml:space="preserve"> is changed, this should be well documented for third parties to understand the cause and rational</w:t>
            </w:r>
            <w:r w:rsidR="009E50B3">
              <w:rPr>
                <w:i/>
              </w:rPr>
              <w:t>e</w:t>
            </w:r>
            <w:r w:rsidR="00223707" w:rsidRPr="00EC0766">
              <w:rPr>
                <w:i/>
              </w:rPr>
              <w:t>.</w:t>
            </w:r>
          </w:p>
        </w:tc>
      </w:tr>
    </w:tbl>
    <w:p w:rsidR="009D40C3" w:rsidRDefault="00BB681F" w:rsidP="009D40C3">
      <w:pPr>
        <w:pStyle w:val="NeAdH42"/>
      </w:pPr>
      <w:r>
        <w:t>Discussion</w:t>
      </w:r>
    </w:p>
    <w:p w:rsidR="006E6E4B" w:rsidRDefault="002872CD" w:rsidP="002872CD">
      <w:pPr>
        <w:pStyle w:val="NeAdnumber-level1"/>
      </w:pPr>
      <w:r>
        <w:t>A well-developed RAF</w:t>
      </w:r>
      <w:r w:rsidRPr="008466F0">
        <w:t xml:space="preserve"> should have a formal and transparent governance structure</w:t>
      </w:r>
      <w:r w:rsidR="0046499F">
        <w:t xml:space="preserve">. Some banks document this structure and process in their ICAAP/ILAAP documentation </w:t>
      </w:r>
      <w:r w:rsidR="005349AE">
        <w:t xml:space="preserve">while others have </w:t>
      </w:r>
      <w:r w:rsidR="0046499F">
        <w:t xml:space="preserve">a </w:t>
      </w:r>
      <w:r w:rsidR="00F26A1E">
        <w:t>stand-alone</w:t>
      </w:r>
      <w:r w:rsidR="0046499F">
        <w:t xml:space="preserve"> </w:t>
      </w:r>
      <w:r w:rsidR="00095D6C">
        <w:t>policy. The</w:t>
      </w:r>
      <w:r w:rsidR="0046499F">
        <w:t xml:space="preserve"> </w:t>
      </w:r>
      <w:r w:rsidR="00F26A1E">
        <w:t>governance arrangements should</w:t>
      </w:r>
      <w:r w:rsidR="0046499F">
        <w:t xml:space="preserve"> include</w:t>
      </w:r>
      <w:r w:rsidR="00EC3CE0">
        <w:t xml:space="preserve"> </w:t>
      </w:r>
      <w:r w:rsidRPr="003057B7">
        <w:t xml:space="preserve">clear roles for all the stakeholders involved at every level of the </w:t>
      </w:r>
      <w:r w:rsidR="00094B25">
        <w:t>bank</w:t>
      </w:r>
      <w:r>
        <w:t xml:space="preserve">, i.e. </w:t>
      </w:r>
      <w:r w:rsidRPr="00B24B71">
        <w:t xml:space="preserve">the </w:t>
      </w:r>
      <w:r>
        <w:t>SB, the MgmtB</w:t>
      </w:r>
      <w:r w:rsidRPr="00B24B71">
        <w:t xml:space="preserve">, senior management, </w:t>
      </w:r>
      <w:r>
        <w:t xml:space="preserve">business units, </w:t>
      </w:r>
      <w:r w:rsidRPr="00B24B71">
        <w:t>t</w:t>
      </w:r>
      <w:r>
        <w:t>he risk management function,</w:t>
      </w:r>
      <w:r w:rsidR="00B04687">
        <w:t xml:space="preserve"> </w:t>
      </w:r>
      <w:r>
        <w:t>and internal audit</w:t>
      </w:r>
      <w:r w:rsidRPr="003057B7">
        <w:t>.</w:t>
      </w:r>
      <w:r>
        <w:rPr>
          <w:rStyle w:val="Sprotnaopomba-sklic"/>
        </w:rPr>
        <w:footnoteReference w:id="13"/>
      </w:r>
      <w:r w:rsidRPr="003057B7">
        <w:t xml:space="preserve"> </w:t>
      </w:r>
    </w:p>
    <w:p w:rsidR="005E1936" w:rsidRDefault="005E1936" w:rsidP="005F305C">
      <w:pPr>
        <w:pStyle w:val="NeAdnumber-level1"/>
      </w:pPr>
      <w:r>
        <w:t xml:space="preserve">While </w:t>
      </w:r>
      <w:r w:rsidR="00EB72BE">
        <w:t xml:space="preserve">the </w:t>
      </w:r>
      <w:r>
        <w:t>RA</w:t>
      </w:r>
      <w:r w:rsidR="00EB72BE">
        <w:t>F</w:t>
      </w:r>
      <w:r>
        <w:t xml:space="preserve"> should be discussed</w:t>
      </w:r>
      <w:r w:rsidR="00266625">
        <w:t>,</w:t>
      </w:r>
      <w:r>
        <w:t xml:space="preserve"> approved</w:t>
      </w:r>
      <w:r w:rsidR="00266625">
        <w:t>,</w:t>
      </w:r>
      <w:r>
        <w:t xml:space="preserve"> and owned by the very top of the </w:t>
      </w:r>
      <w:r w:rsidR="007F69F2">
        <w:t>bank</w:t>
      </w:r>
      <w:r>
        <w:t xml:space="preserve"> and its implementation should be </w:t>
      </w:r>
      <w:r w:rsidR="00EB72BE">
        <w:t xml:space="preserve">based on </w:t>
      </w:r>
      <w:r w:rsidR="00266625">
        <w:t xml:space="preserve">a </w:t>
      </w:r>
      <w:r>
        <w:t>top</w:t>
      </w:r>
      <w:r w:rsidR="00266625">
        <w:t>-</w:t>
      </w:r>
      <w:r>
        <w:t>down</w:t>
      </w:r>
      <w:r w:rsidR="00266625">
        <w:t xml:space="preserve"> approach</w:t>
      </w:r>
      <w:r>
        <w:t>, its development</w:t>
      </w:r>
      <w:r w:rsidR="00EB72BE">
        <w:t xml:space="preserve"> should also </w:t>
      </w:r>
      <w:r>
        <w:t>include significant bottom</w:t>
      </w:r>
      <w:r w:rsidR="00EB72BE">
        <w:t>-</w:t>
      </w:r>
      <w:r>
        <w:t xml:space="preserve">up </w:t>
      </w:r>
      <w:r w:rsidR="00EB72BE">
        <w:t>inputs</w:t>
      </w:r>
      <w:r>
        <w:t xml:space="preserve"> f</w:t>
      </w:r>
      <w:r w:rsidR="00630D56">
        <w:t>ro</w:t>
      </w:r>
      <w:r>
        <w:t>m various</w:t>
      </w:r>
      <w:r w:rsidR="00EB72BE">
        <w:t xml:space="preserve"> other</w:t>
      </w:r>
      <w:r>
        <w:t xml:space="preserve"> stakeholders</w:t>
      </w:r>
      <w:r w:rsidR="00EB72BE" w:rsidRPr="00EB72BE">
        <w:rPr>
          <w:rFonts w:ascii="Times New Roman" w:hAnsi="Times New Roman" w:cs="Times New Roman"/>
          <w:sz w:val="24"/>
          <w:szCs w:val="24"/>
        </w:rPr>
        <w:t xml:space="preserve"> </w:t>
      </w:r>
      <w:r w:rsidR="00EB72BE">
        <w:t>to ensure the RAF is</w:t>
      </w:r>
      <w:r w:rsidR="00EB72BE" w:rsidRPr="00EB72BE">
        <w:t xml:space="preserve"> comprehensive </w:t>
      </w:r>
      <w:r w:rsidR="00EB72BE">
        <w:t>and effectively implemented.</w:t>
      </w:r>
      <w:r>
        <w:t xml:space="preserve"> </w:t>
      </w:r>
    </w:p>
    <w:p w:rsidR="005F305C" w:rsidRDefault="005F305C" w:rsidP="005F305C">
      <w:pPr>
        <w:pStyle w:val="NeAdnumber-level1"/>
      </w:pPr>
      <w:r>
        <w:t xml:space="preserve">The </w:t>
      </w:r>
      <w:r w:rsidR="00AD209D">
        <w:t>risk management</w:t>
      </w:r>
      <w:r>
        <w:t xml:space="preserve"> function should have primary responsibility </w:t>
      </w:r>
      <w:r w:rsidR="00D72305">
        <w:t xml:space="preserve">for </w:t>
      </w:r>
      <w:r>
        <w:t>developing the RAF and the first draft of RAS, in close cooperation with the bank’s business units</w:t>
      </w:r>
      <w:r w:rsidR="009E50B3">
        <w:t>,</w:t>
      </w:r>
      <w:r>
        <w:t xml:space="preserve"> while maintaining an open discussion with the </w:t>
      </w:r>
      <w:r w:rsidR="00AD209D">
        <w:t>S</w:t>
      </w:r>
      <w:r>
        <w:t xml:space="preserve">BRC on RAP’s main elements. </w:t>
      </w:r>
      <w:r w:rsidR="00AD209D">
        <w:t xml:space="preserve">The </w:t>
      </w:r>
      <w:r>
        <w:t xml:space="preserve">MgmtB should have a clear role and “ownership” in the shaping of the RAF/RAS and challenge the </w:t>
      </w:r>
      <w:r w:rsidR="00D34AD1">
        <w:t>risk management</w:t>
      </w:r>
      <w:r>
        <w:t xml:space="preserve"> function before discussion of the RAF (i.e</w:t>
      </w:r>
      <w:r w:rsidR="00D34AD1">
        <w:t>.</w:t>
      </w:r>
      <w:r>
        <w:t xml:space="preserve"> the policy document) and RAS </w:t>
      </w:r>
      <w:r w:rsidR="00D34AD1">
        <w:t>by the</w:t>
      </w:r>
      <w:r>
        <w:t xml:space="preserve"> </w:t>
      </w:r>
      <w:r w:rsidR="00D34AD1">
        <w:t>S</w:t>
      </w:r>
      <w:r>
        <w:t xml:space="preserve">BRC. </w:t>
      </w:r>
    </w:p>
    <w:p w:rsidR="001741A3" w:rsidRDefault="002872CD" w:rsidP="006E6E4B">
      <w:pPr>
        <w:pStyle w:val="NeAdnumber-level1"/>
      </w:pPr>
      <w:r w:rsidRPr="003057B7">
        <w:t xml:space="preserve">In particular, the </w:t>
      </w:r>
      <w:r>
        <w:t>SB</w:t>
      </w:r>
      <w:r w:rsidRPr="003057B7">
        <w:t xml:space="preserve"> should take </w:t>
      </w:r>
      <w:r w:rsidR="005F305C">
        <w:t>the primary role</w:t>
      </w:r>
      <w:r w:rsidRPr="003057B7">
        <w:t xml:space="preserve"> in </w:t>
      </w:r>
      <w:r w:rsidR="00D43705">
        <w:t xml:space="preserve">the </w:t>
      </w:r>
      <w:r w:rsidR="005F305C">
        <w:t>final definition, approval</w:t>
      </w:r>
      <w:r w:rsidR="00D43705">
        <w:t>,</w:t>
      </w:r>
      <w:r w:rsidR="005F305C">
        <w:t xml:space="preserve"> an</w:t>
      </w:r>
      <w:r w:rsidR="005E1936">
        <w:t>d</w:t>
      </w:r>
      <w:r w:rsidR="005F305C">
        <w:t xml:space="preserve"> active </w:t>
      </w:r>
      <w:r w:rsidRPr="003057B7">
        <w:t xml:space="preserve">monitoring </w:t>
      </w:r>
      <w:r w:rsidR="00D43705">
        <w:t xml:space="preserve">of </w:t>
      </w:r>
      <w:r w:rsidRPr="003057B7">
        <w:t xml:space="preserve">a </w:t>
      </w:r>
      <w:r>
        <w:t>bank</w:t>
      </w:r>
      <w:r w:rsidRPr="003057B7">
        <w:t xml:space="preserve">’s </w:t>
      </w:r>
      <w:r w:rsidR="00CA651B">
        <w:t>RAP</w:t>
      </w:r>
      <w:r w:rsidRPr="003057B7">
        <w:t xml:space="preserve"> and risk profile. </w:t>
      </w:r>
      <w:r w:rsidR="001741A3">
        <w:t>The</w:t>
      </w:r>
      <w:r>
        <w:t xml:space="preserve"> SB and SBRC should actively challenge the MgmtB and risk management function on the design of </w:t>
      </w:r>
      <w:r w:rsidR="00CB15F0">
        <w:t xml:space="preserve">the </w:t>
      </w:r>
      <w:r>
        <w:t>RAF,</w:t>
      </w:r>
      <w:r w:rsidR="00CB15F0">
        <w:t xml:space="preserve"> its</w:t>
      </w:r>
      <w:r>
        <w:t xml:space="preserve"> content, and on specific </w:t>
      </w:r>
      <w:r w:rsidR="00CA651B">
        <w:t>RAP</w:t>
      </w:r>
      <w:r>
        <w:t xml:space="preserve"> limits. </w:t>
      </w:r>
    </w:p>
    <w:p w:rsidR="00817BE5" w:rsidRDefault="00817BE5" w:rsidP="00817BE5">
      <w:pPr>
        <w:pStyle w:val="NeAdnumber-level1"/>
      </w:pPr>
      <w:r>
        <w:t>An appropriate division of labour between the SB and the SBRC helps ensure that the two bodies are fully engaged on matters of RAP. The</w:t>
      </w:r>
      <w:r w:rsidRPr="00C036DA">
        <w:t xml:space="preserve"> SBRC should include </w:t>
      </w:r>
      <w:r>
        <w:t xml:space="preserve">banking experts, ideally </w:t>
      </w:r>
      <w:r w:rsidRPr="00C036DA">
        <w:t>risk specialists</w:t>
      </w:r>
      <w:r>
        <w:t>,</w:t>
      </w:r>
      <w:r w:rsidRPr="00C036DA">
        <w:t xml:space="preserve"> who do the “heavy lifting” </w:t>
      </w:r>
      <w:r>
        <w:t xml:space="preserve">in guiding the </w:t>
      </w:r>
      <w:r w:rsidR="00D23C92">
        <w:t>risk management</w:t>
      </w:r>
      <w:r>
        <w:t xml:space="preserve"> function, challenging the </w:t>
      </w:r>
      <w:r w:rsidRPr="00DB6560">
        <w:t xml:space="preserve">MgmtB </w:t>
      </w:r>
      <w:r>
        <w:t>(</w:t>
      </w:r>
      <w:r w:rsidRPr="00DB6560">
        <w:t>and risk management function</w:t>
      </w:r>
      <w:r>
        <w:t xml:space="preserve">, once the RAS is presented) </w:t>
      </w:r>
      <w:r w:rsidRPr="00C036DA">
        <w:t xml:space="preserve">and </w:t>
      </w:r>
      <w:r>
        <w:t>keep the SB</w:t>
      </w:r>
      <w:r w:rsidRPr="00C036DA">
        <w:t xml:space="preserve"> </w:t>
      </w:r>
      <w:r>
        <w:t>informed. The lat</w:t>
      </w:r>
      <w:r w:rsidR="00EE0E96">
        <w:t>t</w:t>
      </w:r>
      <w:r>
        <w:t>er would</w:t>
      </w:r>
      <w:r w:rsidRPr="00C036DA">
        <w:t xml:space="preserve"> then </w:t>
      </w:r>
      <w:r>
        <w:t>provide for a further layer of challenge in the context of strategic and budget reviews, as discussed above.</w:t>
      </w:r>
      <w:r w:rsidR="005F305C">
        <w:t xml:space="preserve"> </w:t>
      </w:r>
    </w:p>
    <w:p w:rsidR="002872CD" w:rsidRDefault="001741A3" w:rsidP="00D1568F">
      <w:pPr>
        <w:pStyle w:val="NeAdnumber-level1"/>
      </w:pPr>
      <w:r w:rsidRPr="003057B7">
        <w:t xml:space="preserve">Furthermore, </w:t>
      </w:r>
      <w:r>
        <w:t xml:space="preserve">the </w:t>
      </w:r>
      <w:r w:rsidRPr="003057B7">
        <w:t xml:space="preserve">internal audit </w:t>
      </w:r>
      <w:r>
        <w:t>function</w:t>
      </w:r>
      <w:r w:rsidRPr="003057B7">
        <w:t xml:space="preserve"> should </w:t>
      </w:r>
      <w:r>
        <w:t xml:space="preserve">conduct regular </w:t>
      </w:r>
      <w:r w:rsidR="008523EB">
        <w:t>(ideally annual)</w:t>
      </w:r>
      <w:r>
        <w:t xml:space="preserve"> independent </w:t>
      </w:r>
      <w:r w:rsidRPr="003057B7">
        <w:t>review</w:t>
      </w:r>
      <w:r>
        <w:t>s</w:t>
      </w:r>
      <w:r w:rsidRPr="003057B7">
        <w:t xml:space="preserve"> </w:t>
      </w:r>
      <w:r>
        <w:t>of the RAF’s</w:t>
      </w:r>
      <w:r w:rsidRPr="003057B7">
        <w:t xml:space="preserve"> </w:t>
      </w:r>
      <w:r w:rsidR="007A0646">
        <w:t xml:space="preserve">design and </w:t>
      </w:r>
      <w:r w:rsidRPr="003057B7">
        <w:t>effectiveness</w:t>
      </w:r>
      <w:r w:rsidR="00B97583">
        <w:t>,</w:t>
      </w:r>
      <w:r w:rsidR="00340D5D">
        <w:t xml:space="preserve"> based on its risk</w:t>
      </w:r>
      <w:r w:rsidR="00AF7D30">
        <w:t>-</w:t>
      </w:r>
      <w:r w:rsidR="00340D5D">
        <w:t>based audit plan</w:t>
      </w:r>
      <w:r w:rsidRPr="003057B7">
        <w:t>.</w:t>
      </w:r>
    </w:p>
    <w:p w:rsidR="002872CD" w:rsidRDefault="002872CD" w:rsidP="002872CD">
      <w:pPr>
        <w:pStyle w:val="NeAdnumber-level1"/>
      </w:pPr>
      <w:r>
        <w:t>These</w:t>
      </w:r>
      <w:r w:rsidRPr="000D2FF5">
        <w:t xml:space="preserve"> </w:t>
      </w:r>
      <w:r>
        <w:t xml:space="preserve">multi-layered </w:t>
      </w:r>
      <w:r w:rsidRPr="000D2FF5">
        <w:t>d</w:t>
      </w:r>
      <w:r>
        <w:t>iscussions</w:t>
      </w:r>
      <w:r w:rsidRPr="000D2FF5">
        <w:t xml:space="preserve"> </w:t>
      </w:r>
      <w:r w:rsidR="005F305C">
        <w:t xml:space="preserve">and challenges </w:t>
      </w:r>
      <w:r w:rsidRPr="000D2FF5">
        <w:t xml:space="preserve">between different </w:t>
      </w:r>
      <w:r>
        <w:t xml:space="preserve">internal </w:t>
      </w:r>
      <w:r w:rsidRPr="000D2FF5">
        <w:t>st</w:t>
      </w:r>
      <w:r>
        <w:t xml:space="preserve">akeholders are </w:t>
      </w:r>
      <w:r w:rsidR="005F305C">
        <w:t xml:space="preserve">not only important for developing a comprehensive RAF and RAS. They are also </w:t>
      </w:r>
      <w:r>
        <w:t xml:space="preserve">important </w:t>
      </w:r>
      <w:r w:rsidR="00147E40">
        <w:t>for</w:t>
      </w:r>
      <w:r>
        <w:t xml:space="preserve"> </w:t>
      </w:r>
      <w:r w:rsidRPr="000D2FF5">
        <w:t xml:space="preserve">embedding </w:t>
      </w:r>
      <w:r w:rsidR="005F305C">
        <w:t>the RAF</w:t>
      </w:r>
      <w:r w:rsidRPr="000D2FF5">
        <w:t xml:space="preserve"> </w:t>
      </w:r>
      <w:r>
        <w:t xml:space="preserve">throughout the </w:t>
      </w:r>
      <w:r w:rsidR="00094B25">
        <w:t>bank</w:t>
      </w:r>
      <w:r>
        <w:t xml:space="preserve"> </w:t>
      </w:r>
      <w:r w:rsidRPr="000D2FF5">
        <w:t xml:space="preserve">and </w:t>
      </w:r>
      <w:r w:rsidR="005F305C">
        <w:t>are an essential generator of a shared risk culture, a key element of sound risk management and, as such, a critical supervisory imperative</w:t>
      </w:r>
      <w:r w:rsidRPr="000D2FF5">
        <w:t>.</w:t>
      </w:r>
      <w:r>
        <w:t xml:space="preserve"> </w:t>
      </w:r>
    </w:p>
    <w:p w:rsidR="0084731D" w:rsidRDefault="009A7898" w:rsidP="002872CD">
      <w:pPr>
        <w:pStyle w:val="NeAdnumber-level1"/>
      </w:pPr>
      <w:r>
        <w:t xml:space="preserve">Adequately minuting RAP discussions </w:t>
      </w:r>
      <w:r w:rsidR="00A247DD">
        <w:t xml:space="preserve">is another element of good governance that is expected by </w:t>
      </w:r>
      <w:r w:rsidR="00376E36">
        <w:t>supervisors. The</w:t>
      </w:r>
      <w:r w:rsidR="00A247DD">
        <w:t xml:space="preserve"> largest </w:t>
      </w:r>
      <w:r w:rsidR="00094B25">
        <w:t>bank</w:t>
      </w:r>
      <w:r w:rsidR="00882F51">
        <w:t>s</w:t>
      </w:r>
      <w:r w:rsidR="00A247DD">
        <w:t xml:space="preserve"> might therefore want to consider dedicated secretariats (within the broader board secretariat function) for the SBRC, also supporting risk related discussion at </w:t>
      </w:r>
      <w:r w:rsidR="00882F51">
        <w:t>plenary</w:t>
      </w:r>
      <w:r w:rsidR="00A247DD">
        <w:t xml:space="preserve"> SB meetings</w:t>
      </w:r>
      <w:r w:rsidR="00EE7548">
        <w:t>.</w:t>
      </w:r>
    </w:p>
    <w:p w:rsidR="005013C3" w:rsidRDefault="003C7080" w:rsidP="00D33CFB">
      <w:pPr>
        <w:pStyle w:val="NeAdnumber-level1"/>
      </w:pPr>
      <w:r>
        <w:t xml:space="preserve">Regularly monitoring performance </w:t>
      </w:r>
      <w:r w:rsidR="00275BF0">
        <w:t xml:space="preserve">and risk profiles </w:t>
      </w:r>
      <w:r>
        <w:t xml:space="preserve">against a “dashboard” of RAS metrics throughout the period is a critical element of good RAP governance. </w:t>
      </w:r>
      <w:r w:rsidR="00E6391B">
        <w:t>T</w:t>
      </w:r>
      <w:r w:rsidR="00F25A83">
        <w:t>he dashboard should be</w:t>
      </w:r>
      <w:r w:rsidR="00F25A83" w:rsidRPr="00857E58">
        <w:t xml:space="preserve"> user-friendly and suitable for </w:t>
      </w:r>
      <w:r w:rsidR="00F25A83">
        <w:t xml:space="preserve">members of the SB and the SBRC </w:t>
      </w:r>
      <w:r w:rsidR="00F25A83" w:rsidRPr="00857E58">
        <w:t>with different skills and backgrounds</w:t>
      </w:r>
      <w:r w:rsidR="00E6391B">
        <w:t xml:space="preserve">. </w:t>
      </w:r>
      <w:r w:rsidR="005013C3">
        <w:t>At that level i</w:t>
      </w:r>
      <w:r w:rsidR="00E6391B">
        <w:t>t</w:t>
      </w:r>
      <w:r w:rsidR="00F25A83" w:rsidRPr="00857E58">
        <w:t xml:space="preserve"> should be as self-explanatory </w:t>
      </w:r>
      <w:r w:rsidR="00F25A83">
        <w:t>and self-sufficient as possible and t</w:t>
      </w:r>
      <w:r w:rsidR="00F25A83" w:rsidRPr="00857E58">
        <w:t xml:space="preserve">he </w:t>
      </w:r>
      <w:r w:rsidR="00F25A83">
        <w:t xml:space="preserve">level of </w:t>
      </w:r>
      <w:r w:rsidR="00F25A83" w:rsidRPr="00857E58">
        <w:t xml:space="preserve">granularity should match the </w:t>
      </w:r>
      <w:r w:rsidR="005013C3">
        <w:t xml:space="preserve">RAS and the </w:t>
      </w:r>
      <w:r w:rsidR="00F25A83" w:rsidRPr="00857E58">
        <w:t>business plan.</w:t>
      </w:r>
      <w:r w:rsidR="00F25A83">
        <w:t xml:space="preserve"> </w:t>
      </w:r>
    </w:p>
    <w:p w:rsidR="001563C5" w:rsidRDefault="00F25A83" w:rsidP="00D33CFB">
      <w:pPr>
        <w:pStyle w:val="NeAdnumber-level1"/>
      </w:pPr>
      <w:r>
        <w:t>The risk indicators included in the dashboard should be tailored to the size and complexity of the bank and cover all material risks, ideally with multiple indicators used to capture each type of material risk</w:t>
      </w:r>
      <w:r w:rsidR="00E6391B">
        <w:t>.</w:t>
      </w:r>
      <w:r w:rsidR="00484296">
        <w:rPr>
          <w:rStyle w:val="Sprotnaopomba-sklic"/>
        </w:rPr>
        <w:footnoteReference w:id="14"/>
      </w:r>
      <w:r w:rsidR="00D33CFB">
        <w:t xml:space="preserve"> </w:t>
      </w:r>
      <w:r w:rsidR="005013C3">
        <w:t>In any event the SBRC should see on a regular basis</w:t>
      </w:r>
      <w:r w:rsidR="007340D3">
        <w:t xml:space="preserve"> </w:t>
      </w:r>
      <w:r w:rsidR="00EE0E96">
        <w:t>(</w:t>
      </w:r>
      <w:r w:rsidR="005013C3">
        <w:t>at least four times</w:t>
      </w:r>
      <w:r w:rsidR="007340D3">
        <w:t xml:space="preserve"> per </w:t>
      </w:r>
      <w:r w:rsidR="005013C3">
        <w:t>year</w:t>
      </w:r>
      <w:r w:rsidR="00EE0E96">
        <w:t>)</w:t>
      </w:r>
      <w:r w:rsidR="007340D3">
        <w:t xml:space="preserve"> </w:t>
      </w:r>
      <w:r w:rsidR="005013C3">
        <w:t xml:space="preserve">the difference between current risk profile levels and the RAS thresholds and limits. </w:t>
      </w:r>
      <w:r w:rsidR="001563C5">
        <w:t xml:space="preserve">Special focus and challenge </w:t>
      </w:r>
      <w:r w:rsidR="00EE0E96">
        <w:t xml:space="preserve">should </w:t>
      </w:r>
      <w:r w:rsidR="001563C5">
        <w:t xml:space="preserve">be reserved for threshold breaches or near breaches. Qualitative indicators should also be the object of discussion and relevant information </w:t>
      </w:r>
      <w:r w:rsidR="007340D3">
        <w:t xml:space="preserve">should be </w:t>
      </w:r>
      <w:r w:rsidR="001563C5">
        <w:t xml:space="preserve">provided by </w:t>
      </w:r>
      <w:r w:rsidR="007340D3">
        <w:t>the risk management function</w:t>
      </w:r>
      <w:r w:rsidR="001563C5">
        <w:t xml:space="preserve">. </w:t>
      </w:r>
    </w:p>
    <w:p w:rsidR="00D33CFB" w:rsidRDefault="001563C5" w:rsidP="00D33CFB">
      <w:pPr>
        <w:pStyle w:val="NeAdnumber-level1"/>
      </w:pPr>
      <w:r>
        <w:t>The SBRC</w:t>
      </w:r>
      <w:r w:rsidR="005013C3">
        <w:t xml:space="preserve"> should understand and query these levels and g</w:t>
      </w:r>
      <w:r w:rsidR="00862FA3">
        <w:t>i</w:t>
      </w:r>
      <w:r w:rsidR="005013C3">
        <w:t xml:space="preserve">ve guidance to management on appropriately steering the </w:t>
      </w:r>
      <w:r w:rsidR="00862FA3">
        <w:t xml:space="preserve">bank’s </w:t>
      </w:r>
      <w:r w:rsidR="005013C3">
        <w:t>risk profile.</w:t>
      </w:r>
    </w:p>
    <w:p w:rsidR="00F25A83" w:rsidRDefault="00D33CFB" w:rsidP="00C3382F">
      <w:pPr>
        <w:pStyle w:val="NeAdnumber-level1"/>
      </w:pPr>
      <w:r>
        <w:t>To ensure the dashboard’s usefulness</w:t>
      </w:r>
      <w:r w:rsidR="005013C3">
        <w:t xml:space="preserve"> to all RAP </w:t>
      </w:r>
      <w:r w:rsidR="00E100EE">
        <w:t>stakeholders,</w:t>
      </w:r>
      <w:r>
        <w:t xml:space="preserve"> the </w:t>
      </w:r>
      <w:r w:rsidR="005013C3">
        <w:t>metrics and types of information measured could vary at different levels</w:t>
      </w:r>
      <w:r w:rsidR="00E100EE">
        <w:t xml:space="preserve"> of the organisation</w:t>
      </w:r>
      <w:r w:rsidR="005013C3">
        <w:t>. For example</w:t>
      </w:r>
      <w:r w:rsidR="00D46B6E">
        <w:t>,</w:t>
      </w:r>
      <w:r w:rsidR="005013C3">
        <w:t xml:space="preserve"> many MgmtBs or management level risk committees might </w:t>
      </w:r>
      <w:r w:rsidR="00D46B6E">
        <w:t>see</w:t>
      </w:r>
      <w:r w:rsidR="005013C3">
        <w:t xml:space="preserve"> much more granular dashboards with more detailed information</w:t>
      </w:r>
      <w:r w:rsidR="00D46B6E">
        <w:t xml:space="preserve"> compared to the SB level</w:t>
      </w:r>
      <w:r w:rsidR="005013C3">
        <w:t xml:space="preserve">. </w:t>
      </w:r>
      <w:r w:rsidR="00137B8C">
        <w:t>At the SB level, t</w:t>
      </w:r>
      <w:r w:rsidR="00E100EE">
        <w:t>he</w:t>
      </w:r>
      <w:r w:rsidR="005013C3">
        <w:t xml:space="preserve"> </w:t>
      </w:r>
      <w:r>
        <w:t xml:space="preserve">information included should be sufficiently </w:t>
      </w:r>
      <w:r w:rsidR="00F25A83">
        <w:t xml:space="preserve">aggregated and banks should aim for a limited number of individual risk indicators to ensure clarity and usefulness of the information. </w:t>
      </w:r>
      <w:r w:rsidR="00356DCA">
        <w:t>T</w:t>
      </w:r>
      <w:r w:rsidR="00F25A83">
        <w:t>he total number of risk indicators in the dashboard should therefore not exceed 15</w:t>
      </w:r>
      <w:r w:rsidR="000B22EC">
        <w:t xml:space="preserve"> at the SB level</w:t>
      </w:r>
      <w:r w:rsidR="00F25A83">
        <w:t>.</w:t>
      </w:r>
    </w:p>
    <w:tbl>
      <w:tblPr>
        <w:tblStyle w:val="Tabelamrea"/>
        <w:tblW w:w="0" w:type="auto"/>
        <w:tblInd w:w="-147" w:type="dxa"/>
        <w:tblLook w:val="04A0" w:firstRow="1" w:lastRow="0" w:firstColumn="1" w:lastColumn="0" w:noHBand="0" w:noVBand="1"/>
      </w:tblPr>
      <w:tblGrid>
        <w:gridCol w:w="8642"/>
      </w:tblGrid>
      <w:tr w:rsidR="00A252B0" w:rsidTr="00250A41">
        <w:trPr>
          <w:trHeight w:val="1809"/>
        </w:trPr>
        <w:tc>
          <w:tcPr>
            <w:tcW w:w="8642" w:type="dxa"/>
            <w:shd w:val="clear" w:color="auto" w:fill="F7CAAC" w:themeFill="accent2" w:themeFillTint="66"/>
          </w:tcPr>
          <w:p w:rsidR="00875704" w:rsidRPr="00CD377C" w:rsidRDefault="00875704" w:rsidP="00250A41">
            <w:pPr>
              <w:pStyle w:val="NeAdnumber-level1"/>
              <w:keepNext/>
              <w:numPr>
                <w:ilvl w:val="0"/>
                <w:numId w:val="0"/>
              </w:numPr>
              <w:rPr>
                <w:b/>
              </w:rPr>
            </w:pPr>
            <w:r w:rsidRPr="00CD377C">
              <w:rPr>
                <w:b/>
              </w:rPr>
              <w:t>Case Box 2</w:t>
            </w:r>
          </w:p>
          <w:p w:rsidR="00722B0C" w:rsidRDefault="00A252B0" w:rsidP="00C2460A">
            <w:pPr>
              <w:pStyle w:val="NeAdnumber-level1"/>
              <w:keepNext/>
              <w:numPr>
                <w:ilvl w:val="0"/>
                <w:numId w:val="0"/>
              </w:numPr>
              <w:rPr>
                <w:i/>
              </w:rPr>
            </w:pPr>
            <w:r w:rsidRPr="008F6A86">
              <w:rPr>
                <w:i/>
              </w:rPr>
              <w:t xml:space="preserve">The risk management function of </w:t>
            </w:r>
            <w:r w:rsidR="001563C5">
              <w:rPr>
                <w:i/>
              </w:rPr>
              <w:t>Bank</w:t>
            </w:r>
            <w:r w:rsidR="00875704">
              <w:rPr>
                <w:i/>
              </w:rPr>
              <w:t xml:space="preserve"> B</w:t>
            </w:r>
            <w:r w:rsidRPr="008F6A86">
              <w:rPr>
                <w:i/>
              </w:rPr>
              <w:t xml:space="preserve"> prepared the RAS </w:t>
            </w:r>
            <w:r>
              <w:rPr>
                <w:i/>
              </w:rPr>
              <w:t xml:space="preserve">and the RAF </w:t>
            </w:r>
            <w:r w:rsidRPr="008F6A86">
              <w:rPr>
                <w:i/>
              </w:rPr>
              <w:t xml:space="preserve">while working directly with the CRO, the MgmtB, and the SB. The </w:t>
            </w:r>
            <w:r>
              <w:rPr>
                <w:i/>
              </w:rPr>
              <w:t>draft documentation</w:t>
            </w:r>
            <w:r w:rsidRPr="008F6A86">
              <w:rPr>
                <w:i/>
              </w:rPr>
              <w:t xml:space="preserve"> was then presented to the SBRC.</w:t>
            </w:r>
            <w:r w:rsidRPr="00A604FD">
              <w:rPr>
                <w:rFonts w:ascii="Times New Roman" w:hAnsi="Times New Roman" w:cs="Times New Roman"/>
                <w:sz w:val="24"/>
                <w:szCs w:val="24"/>
              </w:rPr>
              <w:t xml:space="preserve"> </w:t>
            </w:r>
            <w:r w:rsidRPr="00A604FD">
              <w:rPr>
                <w:i/>
              </w:rPr>
              <w:t>After submitting initial version</w:t>
            </w:r>
            <w:r>
              <w:rPr>
                <w:i/>
              </w:rPr>
              <w:t>s</w:t>
            </w:r>
            <w:r w:rsidRPr="00A604FD">
              <w:rPr>
                <w:i/>
              </w:rPr>
              <w:t>, the bank went through multiple drafts of the RAF documentation based on robust discussions between the risk</w:t>
            </w:r>
            <w:r>
              <w:rPr>
                <w:i/>
              </w:rPr>
              <w:t xml:space="preserve"> management function</w:t>
            </w:r>
            <w:r w:rsidRPr="00A604FD">
              <w:rPr>
                <w:i/>
              </w:rPr>
              <w:t>, the CRO, and the SBRC.</w:t>
            </w:r>
            <w:r w:rsidRPr="008F6A86">
              <w:rPr>
                <w:i/>
              </w:rPr>
              <w:t xml:space="preserve"> After </w:t>
            </w:r>
            <w:r w:rsidR="00D505CE">
              <w:rPr>
                <w:i/>
              </w:rPr>
              <w:t xml:space="preserve">some </w:t>
            </w:r>
            <w:r>
              <w:rPr>
                <w:i/>
              </w:rPr>
              <w:t xml:space="preserve">iterations, </w:t>
            </w:r>
            <w:r w:rsidRPr="008F6A86">
              <w:rPr>
                <w:i/>
              </w:rPr>
              <w:t>the</w:t>
            </w:r>
            <w:r>
              <w:rPr>
                <w:i/>
              </w:rPr>
              <w:t xml:space="preserve"> SBRC</w:t>
            </w:r>
            <w:r w:rsidRPr="008F6A86">
              <w:rPr>
                <w:i/>
              </w:rPr>
              <w:t xml:space="preserve"> signed off on</w:t>
            </w:r>
            <w:r>
              <w:rPr>
                <w:i/>
              </w:rPr>
              <w:t xml:space="preserve"> the RAF and the RAS and </w:t>
            </w:r>
            <w:r w:rsidRPr="008F6A86">
              <w:rPr>
                <w:i/>
              </w:rPr>
              <w:t>th</w:t>
            </w:r>
            <w:r>
              <w:rPr>
                <w:i/>
              </w:rPr>
              <w:t>e documents</w:t>
            </w:r>
            <w:r w:rsidRPr="008F6A86">
              <w:rPr>
                <w:i/>
              </w:rPr>
              <w:t xml:space="preserve"> w</w:t>
            </w:r>
            <w:r>
              <w:rPr>
                <w:i/>
              </w:rPr>
              <w:t>ere</w:t>
            </w:r>
            <w:r w:rsidRPr="008F6A86">
              <w:rPr>
                <w:i/>
              </w:rPr>
              <w:t xml:space="preserve"> </w:t>
            </w:r>
            <w:r>
              <w:rPr>
                <w:i/>
              </w:rPr>
              <w:t xml:space="preserve">subsequently </w:t>
            </w:r>
            <w:r w:rsidRPr="008F6A86">
              <w:rPr>
                <w:i/>
              </w:rPr>
              <w:t>approved by the full SB</w:t>
            </w:r>
            <w:r>
              <w:rPr>
                <w:i/>
              </w:rPr>
              <w:t>.</w:t>
            </w:r>
          </w:p>
          <w:p w:rsidR="000905F7" w:rsidRPr="008F13D6" w:rsidRDefault="001563C5" w:rsidP="00C2460A">
            <w:pPr>
              <w:pStyle w:val="NeAdnumber-level1"/>
              <w:keepNext/>
              <w:numPr>
                <w:ilvl w:val="0"/>
                <w:numId w:val="0"/>
              </w:numPr>
            </w:pPr>
            <w:r w:rsidRPr="008F13D6">
              <w:t>Clearly, RAF and RAS were adequately challenged in a manner that ensured “</w:t>
            </w:r>
            <w:r w:rsidR="003528E8" w:rsidRPr="008F13D6">
              <w:t>ownership</w:t>
            </w:r>
            <w:r w:rsidR="00EE0E96" w:rsidRPr="008F13D6">
              <w:t>”</w:t>
            </w:r>
            <w:r w:rsidR="003528E8" w:rsidRPr="008F13D6">
              <w:t xml:space="preserve"> by</w:t>
            </w:r>
            <w:r w:rsidRPr="008F13D6">
              <w:t xml:space="preserve"> all stakeholders.</w:t>
            </w:r>
          </w:p>
        </w:tc>
      </w:tr>
    </w:tbl>
    <w:p w:rsidR="005937F8" w:rsidRDefault="005937F8" w:rsidP="005937F8">
      <w:pPr>
        <w:pStyle w:val="NeAdH3"/>
      </w:pPr>
      <w:bookmarkStart w:id="17" w:name="_Toc496105686"/>
      <w:bookmarkStart w:id="18" w:name="_Toc501212126"/>
      <w:bookmarkStart w:id="19" w:name="_Toc510622693"/>
      <w:r>
        <w:t>RAFs in a Group Context</w:t>
      </w:r>
      <w:bookmarkEnd w:id="17"/>
      <w:bookmarkEnd w:id="18"/>
      <w:bookmarkEnd w:id="19"/>
    </w:p>
    <w:p w:rsidR="009E6D7D" w:rsidRDefault="006537C1" w:rsidP="00283A14">
      <w:pPr>
        <w:pStyle w:val="NeAdH42"/>
      </w:pPr>
      <w:r>
        <w:t>Guidelines</w:t>
      </w:r>
    </w:p>
    <w:tbl>
      <w:tblPr>
        <w:tblStyle w:val="Tabelamrea"/>
        <w:tblW w:w="0" w:type="auto"/>
        <w:tblInd w:w="-147" w:type="dxa"/>
        <w:tblLook w:val="04A0" w:firstRow="1" w:lastRow="0" w:firstColumn="1" w:lastColumn="0" w:noHBand="0" w:noVBand="1"/>
      </w:tblPr>
      <w:tblGrid>
        <w:gridCol w:w="8642"/>
      </w:tblGrid>
      <w:tr w:rsidR="009E6D7D" w:rsidTr="00BB2615">
        <w:trPr>
          <w:trHeight w:val="1355"/>
        </w:trPr>
        <w:tc>
          <w:tcPr>
            <w:tcW w:w="8642" w:type="dxa"/>
            <w:shd w:val="clear" w:color="auto" w:fill="B4C6E7" w:themeFill="accent1" w:themeFillTint="66"/>
          </w:tcPr>
          <w:p w:rsidR="009E6D7D" w:rsidRPr="00EC0766" w:rsidRDefault="00A42957" w:rsidP="00803DDA">
            <w:pPr>
              <w:pStyle w:val="NeAdnumber-level1"/>
              <w:numPr>
                <w:ilvl w:val="0"/>
                <w:numId w:val="0"/>
              </w:numPr>
              <w:rPr>
                <w:i/>
              </w:rPr>
            </w:pPr>
            <w:r>
              <w:rPr>
                <w:i/>
              </w:rPr>
              <w:t>7</w:t>
            </w:r>
            <w:r w:rsidR="009F00A7" w:rsidRPr="00EC0766">
              <w:rPr>
                <w:i/>
              </w:rPr>
              <w:t xml:space="preserve">. </w:t>
            </w:r>
            <w:r w:rsidR="002F1654" w:rsidRPr="00EC0766">
              <w:rPr>
                <w:i/>
              </w:rPr>
              <w:t>In principle, the RAF should be group-wide rather than entity specific. As the RAF is rolled out towards various group entities it should allow for localised strategic imperatives, risk profiles</w:t>
            </w:r>
            <w:r w:rsidR="00F805C8">
              <w:rPr>
                <w:i/>
              </w:rPr>
              <w:t>,</w:t>
            </w:r>
            <w:r w:rsidR="002F1654" w:rsidRPr="00EC0766">
              <w:rPr>
                <w:i/>
              </w:rPr>
              <w:t xml:space="preserve"> and supervisory expectations that should be reflected in the RAS of significant group entities.</w:t>
            </w:r>
          </w:p>
        </w:tc>
      </w:tr>
    </w:tbl>
    <w:p w:rsidR="00283A14" w:rsidRDefault="006537C1" w:rsidP="00E70ACD">
      <w:pPr>
        <w:pStyle w:val="NeAdH42"/>
        <w:keepNext/>
      </w:pPr>
      <w:r>
        <w:t>Discussion</w:t>
      </w:r>
    </w:p>
    <w:p w:rsidR="00A80F48" w:rsidRDefault="00F624E5" w:rsidP="00E70ACD">
      <w:pPr>
        <w:pStyle w:val="NeAdnumber-level1"/>
        <w:keepNext/>
      </w:pPr>
      <w:r>
        <w:t>F</w:t>
      </w:r>
      <w:r w:rsidR="00B62E77">
        <w:t>or RAFs to be effective in th</w:t>
      </w:r>
      <w:r w:rsidR="00AA5419">
        <w:t>e</w:t>
      </w:r>
      <w:r w:rsidR="00B62E77">
        <w:t xml:space="preserve"> context</w:t>
      </w:r>
      <w:r w:rsidR="00AA5419">
        <w:t xml:space="preserve"> of cross-border groups</w:t>
      </w:r>
      <w:r w:rsidR="00B62E77">
        <w:t xml:space="preserve">, </w:t>
      </w:r>
      <w:bookmarkStart w:id="20" w:name="_Hlk501142243"/>
      <w:r w:rsidR="00B62E77">
        <w:t>the parent should develop a general approach and risk framework for all subsidiaries</w:t>
      </w:r>
      <w:r w:rsidR="00A300B9">
        <w:t xml:space="preserve">. This approach </w:t>
      </w:r>
      <w:r w:rsidR="002634D2">
        <w:t>reflects</w:t>
      </w:r>
      <w:r w:rsidR="001F0B46">
        <w:t xml:space="preserve"> the </w:t>
      </w:r>
      <w:r w:rsidR="00301F25">
        <w:t>parent company</w:t>
      </w:r>
      <w:r w:rsidR="00531B64">
        <w:t xml:space="preserve"> board’s </w:t>
      </w:r>
      <w:r w:rsidR="0040280A">
        <w:t xml:space="preserve">overall </w:t>
      </w:r>
      <w:r w:rsidR="00531B64">
        <w:t>responsibility</w:t>
      </w:r>
      <w:r w:rsidR="0040280A">
        <w:t xml:space="preserve"> </w:t>
      </w:r>
      <w:r w:rsidR="00C107A0">
        <w:t xml:space="preserve">for </w:t>
      </w:r>
      <w:r w:rsidR="0040280A">
        <w:t>group</w:t>
      </w:r>
      <w:r w:rsidR="00A84720">
        <w:t xml:space="preserve"> strategy and internal governance towards its stakeholders and its </w:t>
      </w:r>
      <w:r w:rsidR="00A97594">
        <w:t xml:space="preserve">supervisors, based </w:t>
      </w:r>
      <w:r w:rsidR="00954F45">
        <w:t xml:space="preserve">on </w:t>
      </w:r>
      <w:r w:rsidR="00A97594">
        <w:t xml:space="preserve">Article 108 of </w:t>
      </w:r>
      <w:r w:rsidR="00954F45">
        <w:t>CRD IV</w:t>
      </w:r>
      <w:r w:rsidR="00514C29">
        <w:t>. In some cases, the parent might also allow for variation of entity level RAFs</w:t>
      </w:r>
      <w:r w:rsidR="00803DDA">
        <w:t>,</w:t>
      </w:r>
      <w:r w:rsidR="00514C29">
        <w:t xml:space="preserve"> as long as they follow the same principles and are buil</w:t>
      </w:r>
      <w:r w:rsidR="005A589D">
        <w:t>t</w:t>
      </w:r>
      <w:r w:rsidR="00514C29">
        <w:t xml:space="preserve"> on the same template, as </w:t>
      </w:r>
      <w:r w:rsidR="005A589D">
        <w:t xml:space="preserve">illustrated </w:t>
      </w:r>
      <w:r w:rsidR="00514C29">
        <w:t xml:space="preserve">in </w:t>
      </w:r>
      <w:r w:rsidR="00514C29" w:rsidRPr="002F09E2">
        <w:rPr>
          <w:i/>
        </w:rPr>
        <w:t xml:space="preserve">Case </w:t>
      </w:r>
      <w:r w:rsidR="00965891" w:rsidRPr="002F09E2">
        <w:rPr>
          <w:i/>
        </w:rPr>
        <w:t>B</w:t>
      </w:r>
      <w:r w:rsidR="00514C29" w:rsidRPr="002F09E2">
        <w:rPr>
          <w:i/>
        </w:rPr>
        <w:t xml:space="preserve">ox </w:t>
      </w:r>
      <w:r w:rsidR="00965891" w:rsidRPr="002F09E2">
        <w:rPr>
          <w:i/>
        </w:rPr>
        <w:t>3 below</w:t>
      </w:r>
      <w:r w:rsidR="00514C29">
        <w:t xml:space="preserve">. </w:t>
      </w:r>
    </w:p>
    <w:p w:rsidR="00A84720" w:rsidRDefault="00A84720" w:rsidP="00816C26">
      <w:pPr>
        <w:pStyle w:val="NeAdnumber-level1"/>
        <w:keepNext/>
      </w:pPr>
      <w:r>
        <w:t xml:space="preserve">Part of the </w:t>
      </w:r>
      <w:r w:rsidR="005D3268">
        <w:t>g</w:t>
      </w:r>
      <w:r>
        <w:t>roup character of the RAF includes the responsibility of central functions for coordinating, reviewing</w:t>
      </w:r>
      <w:r w:rsidR="00DE2FEF">
        <w:t>,</w:t>
      </w:r>
      <w:r>
        <w:t xml:space="preserve"> and validating risk bearing decision</w:t>
      </w:r>
      <w:r w:rsidR="00DE2FEF">
        <w:t>s</w:t>
      </w:r>
      <w:r>
        <w:t xml:space="preserve"> of subsidiaries. These actions should be clearly</w:t>
      </w:r>
      <w:r w:rsidR="005D3268">
        <w:t xml:space="preserve"> documented in the group’s internal (group) governance policy and be available to both home and host supervisors.</w:t>
      </w:r>
    </w:p>
    <w:p w:rsidR="00593DBF" w:rsidRDefault="005D3268" w:rsidP="00816C26">
      <w:pPr>
        <w:pStyle w:val="NeAdnumber-level1"/>
        <w:keepNext/>
      </w:pPr>
      <w:r>
        <w:t xml:space="preserve">While RAFs should be </w:t>
      </w:r>
      <w:r w:rsidR="00196D7F">
        <w:t>consistent across the group,</w:t>
      </w:r>
      <w:r>
        <w:t xml:space="preserve"> the development of the RAS at subsidiary level might differ. Different business circumstances, macroeconomic </w:t>
      </w:r>
      <w:r w:rsidR="001935E5">
        <w:t>environments</w:t>
      </w:r>
      <w:r>
        <w:t xml:space="preserve"> and country-specific risk</w:t>
      </w:r>
      <w:r w:rsidR="00E85FDC">
        <w:t>s</w:t>
      </w:r>
      <w:r>
        <w:t xml:space="preserve"> need to be reflected in the local entit</w:t>
      </w:r>
      <w:r w:rsidR="00803DDA">
        <w:t>y</w:t>
      </w:r>
      <w:r w:rsidR="00E85FDC">
        <w:t>’</w:t>
      </w:r>
      <w:r w:rsidR="00803DDA">
        <w:t>s</w:t>
      </w:r>
      <w:r>
        <w:t xml:space="preserve"> risk strategy and </w:t>
      </w:r>
      <w:r w:rsidR="00405425">
        <w:t>the types of</w:t>
      </w:r>
      <w:r>
        <w:t xml:space="preserve"> risks it want</w:t>
      </w:r>
      <w:r w:rsidR="00E85FDC">
        <w:t>s</w:t>
      </w:r>
      <w:r>
        <w:t xml:space="preserve"> to assume to achieve its goals. A </w:t>
      </w:r>
      <w:r w:rsidR="00952D15">
        <w:t>“</w:t>
      </w:r>
      <w:r>
        <w:t>localised</w:t>
      </w:r>
      <w:r w:rsidR="00952D15">
        <w:t>”</w:t>
      </w:r>
      <w:r>
        <w:t xml:space="preserve"> RAS should be reflected in the dashboard that </w:t>
      </w:r>
      <w:r w:rsidR="00514C29">
        <w:t xml:space="preserve">informs decision making of </w:t>
      </w:r>
      <w:r>
        <w:t xml:space="preserve">the </w:t>
      </w:r>
      <w:r w:rsidR="00952D15">
        <w:t xml:space="preserve">local </w:t>
      </w:r>
      <w:r>
        <w:t xml:space="preserve">entity’s </w:t>
      </w:r>
      <w:r w:rsidR="00952D15">
        <w:t>SB</w:t>
      </w:r>
      <w:r w:rsidR="00514C29">
        <w:t xml:space="preserve">. Conversely, the group’s RAF should allow </w:t>
      </w:r>
      <w:r w:rsidR="005431CC">
        <w:t xml:space="preserve">subsidiary </w:t>
      </w:r>
      <w:r w:rsidR="00514C29">
        <w:t>risks to be effectively reflected in the group’s risk profile</w:t>
      </w:r>
      <w:r w:rsidR="00B62E77">
        <w:t>.</w:t>
      </w:r>
      <w:bookmarkEnd w:id="20"/>
    </w:p>
    <w:p w:rsidR="006D2399" w:rsidRDefault="006D2399" w:rsidP="006D2399">
      <w:pPr>
        <w:pStyle w:val="NeAdnumber-level1"/>
      </w:pPr>
      <w:r>
        <w:t xml:space="preserve">Guidance from </w:t>
      </w:r>
      <w:r w:rsidR="0078619D">
        <w:t>the risk management function at</w:t>
      </w:r>
      <w:r>
        <w:t xml:space="preserve"> group</w:t>
      </w:r>
      <w:r w:rsidR="00514C29">
        <w:t xml:space="preserve"> </w:t>
      </w:r>
      <w:r>
        <w:t>level is especially important in designing</w:t>
      </w:r>
      <w:r w:rsidR="0078619D">
        <w:t xml:space="preserve"> and</w:t>
      </w:r>
      <w:r>
        <w:t xml:space="preserve"> </w:t>
      </w:r>
      <w:r w:rsidR="00514C29">
        <w:t xml:space="preserve">implementing </w:t>
      </w:r>
      <w:r>
        <w:t xml:space="preserve">comprehensive RAFs. </w:t>
      </w:r>
      <w:r w:rsidR="00514C29">
        <w:t xml:space="preserve">The group function </w:t>
      </w:r>
      <w:r w:rsidR="0099531C">
        <w:t>needs to</w:t>
      </w:r>
      <w:r w:rsidR="00514C29">
        <w:t xml:space="preserve"> be close to the subsidiary functions </w:t>
      </w:r>
      <w:r w:rsidR="0078619D">
        <w:t xml:space="preserve">and </w:t>
      </w:r>
      <w:r w:rsidR="00514C29">
        <w:t>provide its active support in properly capturing financial and non-financial risk with</w:t>
      </w:r>
      <w:r w:rsidR="0078619D">
        <w:t>in</w:t>
      </w:r>
      <w:r w:rsidR="00514C29">
        <w:t xml:space="preserve"> the RAF and RAS. </w:t>
      </w:r>
      <w:r w:rsidR="00727379">
        <w:t>T</w:t>
      </w:r>
      <w:r w:rsidR="00727379" w:rsidRPr="00727379">
        <w:t xml:space="preserve">he group function should also ensure that local </w:t>
      </w:r>
      <w:r w:rsidR="00CB1335">
        <w:t xml:space="preserve">risk </w:t>
      </w:r>
      <w:r w:rsidR="00AE3D1E">
        <w:t xml:space="preserve">management </w:t>
      </w:r>
      <w:r w:rsidR="00CB1335">
        <w:t>functions</w:t>
      </w:r>
      <w:r w:rsidR="00727379" w:rsidRPr="00727379">
        <w:t xml:space="preserve"> have adequate resources needed to fulfil their local responsibilities. This may go as far as assisting in recruitment and training.</w:t>
      </w:r>
      <w:r w:rsidR="00CB1335">
        <w:t xml:space="preserve"> </w:t>
      </w:r>
      <w:r w:rsidR="006B15F7">
        <w:t>Furthermore, t</w:t>
      </w:r>
      <w:r w:rsidR="00514C29">
        <w:t xml:space="preserve">he group should be active in sharing experience on RAF implementation </w:t>
      </w:r>
      <w:r w:rsidRPr="006D2399">
        <w:t>across subsidiaries</w:t>
      </w:r>
      <w:r>
        <w:t xml:space="preserve"> (</w:t>
      </w:r>
      <w:r w:rsidR="00514C29">
        <w:t>including on</w:t>
      </w:r>
      <w:r>
        <w:t xml:space="preserve"> past loss events or near misses).</w:t>
      </w:r>
    </w:p>
    <w:tbl>
      <w:tblPr>
        <w:tblStyle w:val="Tabelamrea"/>
        <w:tblW w:w="0" w:type="auto"/>
        <w:tblInd w:w="-147" w:type="dxa"/>
        <w:tblLook w:val="04A0" w:firstRow="1" w:lastRow="0" w:firstColumn="1" w:lastColumn="0" w:noHBand="0" w:noVBand="1"/>
      </w:tblPr>
      <w:tblGrid>
        <w:gridCol w:w="8642"/>
      </w:tblGrid>
      <w:tr w:rsidR="00A252B0" w:rsidTr="00250A41">
        <w:trPr>
          <w:trHeight w:val="1809"/>
        </w:trPr>
        <w:tc>
          <w:tcPr>
            <w:tcW w:w="8642" w:type="dxa"/>
            <w:shd w:val="clear" w:color="auto" w:fill="F7CAAC" w:themeFill="accent2" w:themeFillTint="66"/>
          </w:tcPr>
          <w:p w:rsidR="00965891" w:rsidRPr="00CD377C" w:rsidRDefault="00965891" w:rsidP="00250A41">
            <w:pPr>
              <w:pStyle w:val="NeAdnumber-level1"/>
              <w:keepNext/>
              <w:numPr>
                <w:ilvl w:val="0"/>
                <w:numId w:val="0"/>
              </w:numPr>
              <w:rPr>
                <w:b/>
              </w:rPr>
            </w:pPr>
            <w:r w:rsidRPr="00CD377C">
              <w:rPr>
                <w:b/>
              </w:rPr>
              <w:t>Case Box 3</w:t>
            </w:r>
          </w:p>
          <w:p w:rsidR="00A252B0" w:rsidRPr="00F97F9D" w:rsidRDefault="00514C29" w:rsidP="00250A41">
            <w:pPr>
              <w:pStyle w:val="NeAdnumber-level1"/>
              <w:keepNext/>
              <w:numPr>
                <w:ilvl w:val="0"/>
                <w:numId w:val="0"/>
              </w:numPr>
              <w:rPr>
                <w:b/>
                <w:i/>
              </w:rPr>
            </w:pPr>
            <w:r>
              <w:rPr>
                <w:i/>
              </w:rPr>
              <w:t xml:space="preserve">Bank </w:t>
            </w:r>
            <w:r w:rsidR="00965891">
              <w:rPr>
                <w:i/>
              </w:rPr>
              <w:t xml:space="preserve">C </w:t>
            </w:r>
            <w:r w:rsidR="00A252B0" w:rsidRPr="009E32FB">
              <w:rPr>
                <w:i/>
              </w:rPr>
              <w:t xml:space="preserve">is </w:t>
            </w:r>
            <w:r w:rsidR="00A252B0" w:rsidRPr="005F15E8">
              <w:rPr>
                <w:i/>
              </w:rPr>
              <w:t xml:space="preserve">part of </w:t>
            </w:r>
            <w:r w:rsidR="00CC6E4E">
              <w:rPr>
                <w:i/>
              </w:rPr>
              <w:t xml:space="preserve">a </w:t>
            </w:r>
            <w:r w:rsidR="00A252B0" w:rsidRPr="005F15E8">
              <w:rPr>
                <w:i/>
              </w:rPr>
              <w:t xml:space="preserve">larger Eurozone banking group </w:t>
            </w:r>
            <w:r w:rsidR="00A252B0">
              <w:rPr>
                <w:i/>
              </w:rPr>
              <w:t xml:space="preserve">and </w:t>
            </w:r>
            <w:r w:rsidR="00A252B0" w:rsidRPr="005F15E8">
              <w:rPr>
                <w:i/>
              </w:rPr>
              <w:t>receive</w:t>
            </w:r>
            <w:r w:rsidR="00A252B0">
              <w:rPr>
                <w:i/>
              </w:rPr>
              <w:t>s</w:t>
            </w:r>
            <w:r w:rsidR="00A252B0" w:rsidRPr="005F15E8">
              <w:rPr>
                <w:i/>
              </w:rPr>
              <w:t xml:space="preserve"> </w:t>
            </w:r>
            <w:r w:rsidR="00A252B0">
              <w:rPr>
                <w:i/>
              </w:rPr>
              <w:t xml:space="preserve">RAF </w:t>
            </w:r>
            <w:r w:rsidR="00A252B0" w:rsidRPr="005F15E8">
              <w:rPr>
                <w:i/>
              </w:rPr>
              <w:t xml:space="preserve">guidance </w:t>
            </w:r>
            <w:r w:rsidR="00A252B0">
              <w:rPr>
                <w:i/>
              </w:rPr>
              <w:t xml:space="preserve">from the </w:t>
            </w:r>
            <w:r w:rsidR="00A252B0" w:rsidRPr="005F15E8">
              <w:rPr>
                <w:i/>
              </w:rPr>
              <w:t>parent ban</w:t>
            </w:r>
            <w:r w:rsidR="00A252B0">
              <w:rPr>
                <w:i/>
              </w:rPr>
              <w:t>k in the form of a RAF template</w:t>
            </w:r>
            <w:r w:rsidR="00A252B0" w:rsidRPr="005F15E8">
              <w:rPr>
                <w:i/>
              </w:rPr>
              <w:t xml:space="preserve">. </w:t>
            </w:r>
            <w:r>
              <w:rPr>
                <w:i/>
              </w:rPr>
              <w:t>The local bank</w:t>
            </w:r>
            <w:r w:rsidR="00A252B0">
              <w:rPr>
                <w:i/>
              </w:rPr>
              <w:t xml:space="preserve"> </w:t>
            </w:r>
            <w:r w:rsidR="00A252B0" w:rsidRPr="009E32FB">
              <w:rPr>
                <w:i/>
              </w:rPr>
              <w:t>is heavily focused on retail banking, which</w:t>
            </w:r>
            <w:r>
              <w:rPr>
                <w:i/>
              </w:rPr>
              <w:t xml:space="preserve">, </w:t>
            </w:r>
            <w:r w:rsidR="006152E2">
              <w:rPr>
                <w:i/>
              </w:rPr>
              <w:t>however,</w:t>
            </w:r>
            <w:r w:rsidR="006152E2" w:rsidRPr="009E32FB">
              <w:rPr>
                <w:i/>
              </w:rPr>
              <w:t xml:space="preserve"> is</w:t>
            </w:r>
            <w:r w:rsidR="00A252B0" w:rsidRPr="009E32FB">
              <w:rPr>
                <w:i/>
              </w:rPr>
              <w:t xml:space="preserve"> not </w:t>
            </w:r>
            <w:r>
              <w:rPr>
                <w:i/>
              </w:rPr>
              <w:t xml:space="preserve">a </w:t>
            </w:r>
            <w:r w:rsidR="00A252B0" w:rsidRPr="009E32FB">
              <w:rPr>
                <w:i/>
              </w:rPr>
              <w:t>very important</w:t>
            </w:r>
            <w:r>
              <w:rPr>
                <w:i/>
              </w:rPr>
              <w:t xml:space="preserve"> business</w:t>
            </w:r>
            <w:r w:rsidR="00A252B0" w:rsidRPr="009E32FB">
              <w:rPr>
                <w:i/>
              </w:rPr>
              <w:t xml:space="preserve"> for this bank’s </w:t>
            </w:r>
            <w:r w:rsidR="00A252B0">
              <w:rPr>
                <w:i/>
              </w:rPr>
              <w:t xml:space="preserve">parent </w:t>
            </w:r>
            <w:r>
              <w:rPr>
                <w:i/>
              </w:rPr>
              <w:t>who is more focused on</w:t>
            </w:r>
            <w:r w:rsidR="00A252B0" w:rsidRPr="009E32FB">
              <w:rPr>
                <w:i/>
              </w:rPr>
              <w:t xml:space="preserve"> corporate lending.</w:t>
            </w:r>
          </w:p>
          <w:p w:rsidR="00A252B0" w:rsidRPr="00E44FBD" w:rsidRDefault="00A252B0" w:rsidP="006152E2">
            <w:pPr>
              <w:pStyle w:val="NeAdnumber-level1"/>
              <w:keepNext/>
              <w:numPr>
                <w:ilvl w:val="0"/>
                <w:numId w:val="0"/>
              </w:numPr>
            </w:pPr>
            <w:r w:rsidRPr="009E32FB">
              <w:rPr>
                <w:i/>
              </w:rPr>
              <w:t xml:space="preserve">The group RAF template leaves a lot of flexibility for local entities to tailor their </w:t>
            </w:r>
            <w:r w:rsidR="00CA651B">
              <w:rPr>
                <w:i/>
              </w:rPr>
              <w:t>RAP</w:t>
            </w:r>
            <w:r w:rsidRPr="009E32FB">
              <w:rPr>
                <w:i/>
              </w:rPr>
              <w:t xml:space="preserve"> documentation to the specific local business strategy. </w:t>
            </w:r>
            <w:r w:rsidR="00AB546C">
              <w:rPr>
                <w:i/>
              </w:rPr>
              <w:t xml:space="preserve">Bank </w:t>
            </w:r>
            <w:r w:rsidR="006152E2">
              <w:rPr>
                <w:i/>
              </w:rPr>
              <w:t>C</w:t>
            </w:r>
            <w:r w:rsidR="00B817ED">
              <w:rPr>
                <w:i/>
              </w:rPr>
              <w:t>’s local risk management function has adapted the group template and</w:t>
            </w:r>
            <w:r w:rsidRPr="009E32FB">
              <w:rPr>
                <w:i/>
              </w:rPr>
              <w:t xml:space="preserve"> has put the emphasis on the retail secto</w:t>
            </w:r>
            <w:r w:rsidR="00AB546C">
              <w:rPr>
                <w:i/>
              </w:rPr>
              <w:t>r</w:t>
            </w:r>
            <w:r>
              <w:rPr>
                <w:i/>
              </w:rPr>
              <w:t xml:space="preserve"> to appropriately capture</w:t>
            </w:r>
            <w:r w:rsidRPr="009E32FB">
              <w:rPr>
                <w:i/>
              </w:rPr>
              <w:t xml:space="preserve"> </w:t>
            </w:r>
            <w:r w:rsidR="00B817ED">
              <w:rPr>
                <w:i/>
              </w:rPr>
              <w:t>the</w:t>
            </w:r>
            <w:r w:rsidRPr="009E32FB">
              <w:rPr>
                <w:i/>
              </w:rPr>
              <w:t xml:space="preserve"> local strategy</w:t>
            </w:r>
            <w:r>
              <w:rPr>
                <w:i/>
              </w:rPr>
              <w:t>, activities, and associated risks</w:t>
            </w:r>
            <w:r w:rsidRPr="009E32FB">
              <w:rPr>
                <w:i/>
              </w:rPr>
              <w:t>.</w:t>
            </w:r>
            <w:r>
              <w:rPr>
                <w:i/>
              </w:rPr>
              <w:t xml:space="preserve"> This tailored local </w:t>
            </w:r>
            <w:r w:rsidR="005730F7">
              <w:rPr>
                <w:i/>
              </w:rPr>
              <w:t>approach</w:t>
            </w:r>
            <w:r>
              <w:rPr>
                <w:i/>
              </w:rPr>
              <w:t xml:space="preserve"> is then integrated into the group reporting framework.</w:t>
            </w:r>
          </w:p>
        </w:tc>
      </w:tr>
    </w:tbl>
    <w:p w:rsidR="005F5986" w:rsidRDefault="005F5986" w:rsidP="005F5986">
      <w:pPr>
        <w:pStyle w:val="NeAdnumber-level1"/>
        <w:numPr>
          <w:ilvl w:val="0"/>
          <w:numId w:val="0"/>
        </w:numPr>
        <w:ind w:left="567"/>
      </w:pPr>
    </w:p>
    <w:p w:rsidR="004F2563" w:rsidRDefault="002D6F21" w:rsidP="002E7194">
      <w:pPr>
        <w:pStyle w:val="NeAdH3"/>
      </w:pPr>
      <w:bookmarkStart w:id="21" w:name="_Toc510622694"/>
      <w:r>
        <w:t xml:space="preserve">RAF </w:t>
      </w:r>
      <w:r w:rsidR="002E7194">
        <w:t>G</w:t>
      </w:r>
      <w:r>
        <w:t xml:space="preserve">overnance and </w:t>
      </w:r>
      <w:r w:rsidR="002E7194">
        <w:t>P</w:t>
      </w:r>
      <w:r>
        <w:t>roportionality</w:t>
      </w:r>
      <w:bookmarkEnd w:id="21"/>
    </w:p>
    <w:p w:rsidR="005738BD" w:rsidRDefault="00AF4A0D" w:rsidP="00B4286B">
      <w:pPr>
        <w:pStyle w:val="NeAdnumber-level1"/>
      </w:pPr>
      <w:r>
        <w:t xml:space="preserve">The </w:t>
      </w:r>
      <w:r w:rsidR="00862303">
        <w:t>questions</w:t>
      </w:r>
      <w:r>
        <w:t xml:space="preserve"> related to RAF governance discussed in this section raise </w:t>
      </w:r>
      <w:r w:rsidR="00862303">
        <w:t>important proportionality issues. In the following</w:t>
      </w:r>
      <w:r w:rsidR="004C4686">
        <w:t xml:space="preserve"> </w:t>
      </w:r>
      <w:r w:rsidR="00F9211C">
        <w:t>paragraphs</w:t>
      </w:r>
      <w:r w:rsidR="00802946">
        <w:t>,</w:t>
      </w:r>
      <w:r w:rsidR="00862303">
        <w:t xml:space="preserve"> we </w:t>
      </w:r>
      <w:r w:rsidR="00B51E2B">
        <w:t>outline</w:t>
      </w:r>
      <w:r w:rsidR="00927282">
        <w:t xml:space="preserve"> specific areas</w:t>
      </w:r>
      <w:r w:rsidR="00AF6D83">
        <w:t xml:space="preserve"> where </w:t>
      </w:r>
      <w:r w:rsidR="005738BD">
        <w:t xml:space="preserve">our guidance may differ depending on the size and complexity of the </w:t>
      </w:r>
      <w:r w:rsidR="00094B25">
        <w:t>bank</w:t>
      </w:r>
      <w:r w:rsidR="005738BD">
        <w:t xml:space="preserve">. </w:t>
      </w:r>
    </w:p>
    <w:p w:rsidR="004F2563" w:rsidRDefault="0053593B" w:rsidP="00B4286B">
      <w:pPr>
        <w:pStyle w:val="NeAdnumber-level1"/>
      </w:pPr>
      <w:r>
        <w:t xml:space="preserve">For bigger and more complex banks that can devote more resources to developing and updating their RAF </w:t>
      </w:r>
      <w:r w:rsidR="00A07864">
        <w:t>governance</w:t>
      </w:r>
      <w:r>
        <w:t xml:space="preserve">, </w:t>
      </w:r>
      <w:r w:rsidR="00A07864">
        <w:t xml:space="preserve">we would expect the processes to be included in a single, </w:t>
      </w:r>
      <w:r w:rsidR="00A07864" w:rsidRPr="005A317A">
        <w:t>stand-alone policy</w:t>
      </w:r>
      <w:r w:rsidR="00A07864">
        <w:t xml:space="preserve">. </w:t>
      </w:r>
      <w:r w:rsidR="008B3AF1">
        <w:t>S</w:t>
      </w:r>
      <w:r w:rsidR="00A07864">
        <w:t>maller</w:t>
      </w:r>
      <w:r w:rsidR="00094B25">
        <w:t xml:space="preserve"> banks</w:t>
      </w:r>
      <w:r w:rsidR="00A07864">
        <w:t xml:space="preserve"> </w:t>
      </w:r>
      <w:r w:rsidR="008B3AF1">
        <w:t>might reasonably choose to detail their RAF procedures in the relevant ICAAP/ILAAP documentation</w:t>
      </w:r>
      <w:r w:rsidR="00111D36">
        <w:t xml:space="preserve"> or risk management strategy</w:t>
      </w:r>
      <w:r w:rsidR="008B3AF1">
        <w:t xml:space="preserve"> – as long as the difference between the RAF </w:t>
      </w:r>
      <w:r w:rsidR="00E471B1">
        <w:t>and other</w:t>
      </w:r>
      <w:r w:rsidR="008B3AF1">
        <w:t xml:space="preserve"> processes is made clear.</w:t>
      </w:r>
      <w:r w:rsidR="00620CC1">
        <w:rPr>
          <w:rStyle w:val="Sprotnaopomba-sklic"/>
        </w:rPr>
        <w:footnoteReference w:id="15"/>
      </w:r>
    </w:p>
    <w:p w:rsidR="00EE28C7" w:rsidRPr="00EE28C7" w:rsidRDefault="00FE007B" w:rsidP="00EE28C7">
      <w:pPr>
        <w:pStyle w:val="NeAdnumber-level1"/>
      </w:pPr>
      <w:r>
        <w:t>Ideally, t</w:t>
      </w:r>
      <w:r w:rsidR="00EE28C7" w:rsidRPr="00EE28C7">
        <w:t xml:space="preserve">he </w:t>
      </w:r>
      <w:r w:rsidR="00EE28C7" w:rsidRPr="005A317A">
        <w:t>SB and SBRC</w:t>
      </w:r>
      <w:r w:rsidR="00EE28C7" w:rsidRPr="00EE28C7">
        <w:t xml:space="preserve"> should </w:t>
      </w:r>
      <w:r>
        <w:t xml:space="preserve">both </w:t>
      </w:r>
      <w:r w:rsidR="00EE28C7" w:rsidRPr="00EE28C7">
        <w:t>actively challenge the MgmtB and risk management function on the design</w:t>
      </w:r>
      <w:r w:rsidR="00457B60">
        <w:t xml:space="preserve"> </w:t>
      </w:r>
      <w:r w:rsidR="00803DDA">
        <w:t>and</w:t>
      </w:r>
      <w:r w:rsidR="00EE28C7" w:rsidRPr="00EE28C7">
        <w:t xml:space="preserve"> content</w:t>
      </w:r>
      <w:r w:rsidR="00803DDA">
        <w:t xml:space="preserve"> </w:t>
      </w:r>
      <w:r w:rsidR="00803DDA" w:rsidRPr="00EE28C7">
        <w:t>of the RAF</w:t>
      </w:r>
      <w:r w:rsidR="00EE28C7" w:rsidRPr="00EE28C7">
        <w:t xml:space="preserve"> and on specific RAP limits</w:t>
      </w:r>
      <w:r w:rsidR="00472318">
        <w:t>, in the sequence describes above</w:t>
      </w:r>
      <w:r w:rsidR="00EE28C7" w:rsidRPr="00EE28C7">
        <w:t xml:space="preserve">. </w:t>
      </w:r>
      <w:r w:rsidR="00472318">
        <w:t xml:space="preserve">However, smaller </w:t>
      </w:r>
      <w:r w:rsidR="00094B25">
        <w:t>banks</w:t>
      </w:r>
      <w:r w:rsidR="006B1CAA">
        <w:t xml:space="preserve"> </w:t>
      </w:r>
      <w:r w:rsidR="00472318">
        <w:t>may consolidat</w:t>
      </w:r>
      <w:r w:rsidR="00370640">
        <w:t>e</w:t>
      </w:r>
      <w:r w:rsidR="00472318">
        <w:t xml:space="preserve"> the layers of discussion and challenge at SB level </w:t>
      </w:r>
      <w:r w:rsidR="00370640">
        <w:t>in</w:t>
      </w:r>
      <w:r w:rsidR="00472318">
        <w:t xml:space="preserve"> one iteration, bypassing the merged audit and risk committee.</w:t>
      </w:r>
      <w:r w:rsidR="003F07EE">
        <w:rPr>
          <w:rStyle w:val="Sprotnaopomba-sklic"/>
        </w:rPr>
        <w:footnoteReference w:id="16"/>
      </w:r>
    </w:p>
    <w:p w:rsidR="008B3AF1" w:rsidRDefault="00B3208D" w:rsidP="00B4286B">
      <w:pPr>
        <w:pStyle w:val="NeAdnumber-level1"/>
      </w:pPr>
      <w:r>
        <w:t xml:space="preserve">The largest </w:t>
      </w:r>
      <w:r w:rsidR="00A524F4">
        <w:t>banks</w:t>
      </w:r>
      <w:r>
        <w:t xml:space="preserve"> </w:t>
      </w:r>
      <w:r w:rsidR="002D582E">
        <w:t>should</w:t>
      </w:r>
      <w:r>
        <w:t xml:space="preserve"> consider establishing dedicated secretariats within the broader board secretariat function for the SBRC </w:t>
      </w:r>
      <w:r w:rsidR="00472318">
        <w:t>which might also</w:t>
      </w:r>
      <w:r w:rsidR="002D582E">
        <w:t xml:space="preserve"> support </w:t>
      </w:r>
      <w:r w:rsidR="000803A8">
        <w:t xml:space="preserve">discussions around RAP and other risk-related topics </w:t>
      </w:r>
      <w:r>
        <w:t>at plenary SB meetings.</w:t>
      </w:r>
      <w:r w:rsidR="00B81C42">
        <w:t xml:space="preserve"> This </w:t>
      </w:r>
      <w:r w:rsidR="009D19EE">
        <w:t xml:space="preserve">support would cover the </w:t>
      </w:r>
      <w:r w:rsidR="00AE60B2">
        <w:t xml:space="preserve">preparation and </w:t>
      </w:r>
      <w:r w:rsidR="009D19EE">
        <w:t>document</w:t>
      </w:r>
      <w:r w:rsidR="00472318">
        <w:t>ing</w:t>
      </w:r>
      <w:r w:rsidR="009D19EE">
        <w:t xml:space="preserve"> of discussions and decisions </w:t>
      </w:r>
      <w:r w:rsidR="0001681F">
        <w:t>taken.</w:t>
      </w:r>
      <w:r w:rsidR="0001681F" w:rsidRPr="0001681F">
        <w:t xml:space="preserve"> In</w:t>
      </w:r>
      <w:r w:rsidR="00472318" w:rsidRPr="0001681F">
        <w:t xml:space="preserve"> smaller banks with fewer administrative resources, secretariat support in these areas might actually come from the risk </w:t>
      </w:r>
      <w:r w:rsidR="00AE3D1E">
        <w:t xml:space="preserve">management </w:t>
      </w:r>
      <w:r w:rsidR="00472318" w:rsidRPr="0001681F">
        <w:t xml:space="preserve">function itself. </w:t>
      </w:r>
      <w:r w:rsidR="00472318">
        <w:t>The</w:t>
      </w:r>
      <w:r w:rsidR="00F65C22">
        <w:t xml:space="preserve"> </w:t>
      </w:r>
      <w:r w:rsidR="00AE3D1E">
        <w:t xml:space="preserve">risk management function </w:t>
      </w:r>
      <w:r w:rsidR="00F65C22">
        <w:t xml:space="preserve">should ensure </w:t>
      </w:r>
      <w:r w:rsidR="003D698C">
        <w:t>adequate minut</w:t>
      </w:r>
      <w:r w:rsidR="00472318">
        <w:t>ing</w:t>
      </w:r>
      <w:r w:rsidR="003D698C">
        <w:t xml:space="preserve"> of</w:t>
      </w:r>
      <w:r w:rsidR="00443BF2">
        <w:t xml:space="preserve"> RAP-related discussions at the SB level</w:t>
      </w:r>
      <w:r w:rsidR="003D698C">
        <w:t>.</w:t>
      </w:r>
    </w:p>
    <w:p w:rsidR="006E3577" w:rsidRDefault="00822030" w:rsidP="00B4286B">
      <w:pPr>
        <w:pStyle w:val="NeAdnumber-level1"/>
      </w:pPr>
      <w:r>
        <w:t xml:space="preserve">In the case of </w:t>
      </w:r>
      <w:r w:rsidR="00F82104">
        <w:t>b</w:t>
      </w:r>
      <w:r w:rsidR="006E3577">
        <w:t>igger and more complex banks</w:t>
      </w:r>
      <w:r>
        <w:t xml:space="preserve"> the internal audit function might reasonably be expected to review the RAF on an annual basis. </w:t>
      </w:r>
      <w:r w:rsidR="00DD2CA6">
        <w:t xml:space="preserve">Although </w:t>
      </w:r>
      <w:r w:rsidR="00EF3A80">
        <w:t xml:space="preserve">smaller banks </w:t>
      </w:r>
      <w:r w:rsidR="00DD2CA6">
        <w:t xml:space="preserve">should </w:t>
      </w:r>
      <w:r w:rsidR="0071408A">
        <w:t xml:space="preserve">also have </w:t>
      </w:r>
      <w:r w:rsidR="00DD2CA6">
        <w:t xml:space="preserve">regular </w:t>
      </w:r>
      <w:r w:rsidR="004E2CD3">
        <w:t>reviews</w:t>
      </w:r>
      <w:r w:rsidR="00193705">
        <w:t xml:space="preserve"> by internal audit</w:t>
      </w:r>
      <w:r w:rsidR="00DD2CA6">
        <w:t xml:space="preserve">, </w:t>
      </w:r>
      <w:r w:rsidR="0014296B">
        <w:t xml:space="preserve">they might choose to have longer intervals between individual </w:t>
      </w:r>
      <w:r w:rsidR="003433D1">
        <w:t xml:space="preserve">reviews </w:t>
      </w:r>
      <w:r w:rsidR="0014296B">
        <w:t>due to resource constraints.</w:t>
      </w:r>
    </w:p>
    <w:p w:rsidR="00237B01" w:rsidRDefault="001342A2" w:rsidP="0076311D">
      <w:pPr>
        <w:pStyle w:val="NeAdnumber-level1"/>
      </w:pPr>
      <w:r>
        <w:t xml:space="preserve">The </w:t>
      </w:r>
      <w:r w:rsidR="005902B2">
        <w:t xml:space="preserve">design of </w:t>
      </w:r>
      <w:r w:rsidR="009B3010">
        <w:t xml:space="preserve">RAP metrics included in the </w:t>
      </w:r>
      <w:r>
        <w:t xml:space="preserve">dashboard </w:t>
      </w:r>
      <w:r w:rsidR="002B5D7D">
        <w:t xml:space="preserve">heavily depends on the complexity of the </w:t>
      </w:r>
      <w:r w:rsidR="00094B25">
        <w:t>bank</w:t>
      </w:r>
      <w:r w:rsidR="002B5D7D">
        <w:t xml:space="preserve">. </w:t>
      </w:r>
      <w:r w:rsidR="0050286A">
        <w:t xml:space="preserve">For </w:t>
      </w:r>
      <w:r w:rsidR="005902B2">
        <w:t>large</w:t>
      </w:r>
      <w:r w:rsidR="0050286A">
        <w:t xml:space="preserve"> and complex </w:t>
      </w:r>
      <w:r w:rsidR="00222E7C">
        <w:t>banks</w:t>
      </w:r>
      <w:r w:rsidR="0050286A">
        <w:t xml:space="preserve">, the dashboard should </w:t>
      </w:r>
      <w:r w:rsidR="002A3EE0">
        <w:t xml:space="preserve">include multiple indicators for </w:t>
      </w:r>
      <w:r w:rsidR="00222E7C">
        <w:t xml:space="preserve">each material risk area and also </w:t>
      </w:r>
      <w:r w:rsidR="004C0D03">
        <w:t>have metrics</w:t>
      </w:r>
      <w:r w:rsidR="00237B01" w:rsidRPr="005902B2">
        <w:t xml:space="preserve"> specific to one or more important business lines</w:t>
      </w:r>
      <w:r w:rsidR="0019752B">
        <w:t xml:space="preserve"> at the SB </w:t>
      </w:r>
      <w:r w:rsidR="00007391">
        <w:t>level</w:t>
      </w:r>
      <w:r w:rsidR="00007391" w:rsidRPr="005902B2">
        <w:t>.</w:t>
      </w:r>
      <w:r w:rsidR="00007391">
        <w:t xml:space="preserve"> As</w:t>
      </w:r>
      <w:r w:rsidR="00574BE0">
        <w:t xml:space="preserve"> will be discussed in the next chapter</w:t>
      </w:r>
      <w:r w:rsidR="00C836C6">
        <w:t>,</w:t>
      </w:r>
      <w:r w:rsidR="00574BE0">
        <w:t xml:space="preserve"> </w:t>
      </w:r>
      <w:r w:rsidR="00C836C6">
        <w:t>s</w:t>
      </w:r>
      <w:r w:rsidR="00574BE0">
        <w:t>maller banks might cho</w:t>
      </w:r>
      <w:r w:rsidR="007E1F87">
        <w:t>o</w:t>
      </w:r>
      <w:r w:rsidR="00574BE0">
        <w:t>se simpler metrics that are focus</w:t>
      </w:r>
      <w:r w:rsidR="00C836C6">
        <w:t>ed</w:t>
      </w:r>
      <w:r w:rsidR="00574BE0">
        <w:t xml:space="preserve"> on the whole firm without identifying any other sub-firm </w:t>
      </w:r>
      <w:r w:rsidR="00550EFF">
        <w:t>categories (</w:t>
      </w:r>
      <w:r w:rsidR="00574BE0">
        <w:t>“buckets</w:t>
      </w:r>
      <w:r w:rsidR="00007391">
        <w:t>”</w:t>
      </w:r>
      <w:r w:rsidR="00550EFF">
        <w:t>)</w:t>
      </w:r>
      <w:r w:rsidR="00007391">
        <w:t>.</w:t>
      </w:r>
    </w:p>
    <w:p w:rsidR="00593DBF" w:rsidRPr="006D2399" w:rsidRDefault="00593DBF" w:rsidP="004F2563">
      <w:pPr>
        <w:pStyle w:val="NeAdH2"/>
      </w:pPr>
      <w:r>
        <w:br w:type="page"/>
      </w:r>
    </w:p>
    <w:p w:rsidR="003C6EE3" w:rsidRDefault="003C6EE3" w:rsidP="00A25458">
      <w:pPr>
        <w:pStyle w:val="NeAdH2"/>
        <w:numPr>
          <w:ilvl w:val="1"/>
          <w:numId w:val="22"/>
        </w:numPr>
      </w:pPr>
      <w:bookmarkStart w:id="22" w:name="_Toc510622695"/>
      <w:r>
        <w:t>Content and Metrics</w:t>
      </w:r>
      <w:bookmarkEnd w:id="22"/>
    </w:p>
    <w:p w:rsidR="005159B8" w:rsidRDefault="005159B8" w:rsidP="005159B8">
      <w:pPr>
        <w:pStyle w:val="NeAdH3"/>
      </w:pPr>
      <w:bookmarkStart w:id="23" w:name="_Toc510622696"/>
      <w:r w:rsidRPr="005159B8">
        <w:t xml:space="preserve">Relationship of the RAF with </w:t>
      </w:r>
      <w:r w:rsidR="00DC2484">
        <w:t xml:space="preserve">the </w:t>
      </w:r>
      <w:r w:rsidRPr="005159B8">
        <w:t>ICAAP/ILAAP</w:t>
      </w:r>
      <w:r w:rsidR="00791BDF">
        <w:t xml:space="preserve"> and</w:t>
      </w:r>
      <w:r w:rsidR="00DC2484">
        <w:t xml:space="preserve"> the</w:t>
      </w:r>
      <w:r w:rsidR="00791BDF">
        <w:t xml:space="preserve"> Recovery </w:t>
      </w:r>
      <w:r w:rsidR="00555525">
        <w:t>P</w:t>
      </w:r>
      <w:r w:rsidR="00DC2484">
        <w:t>lan</w:t>
      </w:r>
      <w:bookmarkEnd w:id="23"/>
    </w:p>
    <w:p w:rsidR="006D2CE1" w:rsidRPr="006D2CE1" w:rsidRDefault="00406908" w:rsidP="006D2CE1">
      <w:pPr>
        <w:pStyle w:val="NeAdH42"/>
      </w:pPr>
      <w:r>
        <w:t>Guidelines</w:t>
      </w:r>
    </w:p>
    <w:tbl>
      <w:tblPr>
        <w:tblStyle w:val="Tabelamrea"/>
        <w:tblW w:w="0" w:type="auto"/>
        <w:tblInd w:w="-147" w:type="dxa"/>
        <w:tblLook w:val="04A0" w:firstRow="1" w:lastRow="0" w:firstColumn="1" w:lastColumn="0" w:noHBand="0" w:noVBand="1"/>
      </w:tblPr>
      <w:tblGrid>
        <w:gridCol w:w="8642"/>
      </w:tblGrid>
      <w:tr w:rsidR="004E2E8A" w:rsidTr="00250A41">
        <w:trPr>
          <w:trHeight w:val="1809"/>
        </w:trPr>
        <w:tc>
          <w:tcPr>
            <w:tcW w:w="8642" w:type="dxa"/>
            <w:shd w:val="clear" w:color="auto" w:fill="B4C6E7" w:themeFill="accent1" w:themeFillTint="66"/>
          </w:tcPr>
          <w:p w:rsidR="005B08E7" w:rsidRPr="00EC0766" w:rsidRDefault="00A42957" w:rsidP="00250A41">
            <w:pPr>
              <w:pStyle w:val="NeAdnumber-level1"/>
              <w:numPr>
                <w:ilvl w:val="0"/>
                <w:numId w:val="0"/>
              </w:numPr>
              <w:rPr>
                <w:i/>
              </w:rPr>
            </w:pPr>
            <w:r>
              <w:rPr>
                <w:i/>
              </w:rPr>
              <w:t>8</w:t>
            </w:r>
            <w:r w:rsidR="00DC2484" w:rsidRPr="00EC0766">
              <w:rPr>
                <w:i/>
              </w:rPr>
              <w:t xml:space="preserve">. </w:t>
            </w:r>
            <w:r w:rsidR="00457B60">
              <w:rPr>
                <w:i/>
              </w:rPr>
              <w:t xml:space="preserve">The </w:t>
            </w:r>
            <w:r w:rsidR="008C440C">
              <w:rPr>
                <w:i/>
              </w:rPr>
              <w:t>b</w:t>
            </w:r>
            <w:r w:rsidR="005B08E7" w:rsidRPr="00EC0766">
              <w:rPr>
                <w:i/>
              </w:rPr>
              <w:t xml:space="preserve">ank should view </w:t>
            </w:r>
            <w:r w:rsidR="00CC25C1" w:rsidRPr="00EC0766">
              <w:rPr>
                <w:i/>
              </w:rPr>
              <w:t>t</w:t>
            </w:r>
            <w:r w:rsidR="006D2CE1" w:rsidRPr="00EC0766">
              <w:rPr>
                <w:i/>
              </w:rPr>
              <w:t xml:space="preserve">he RAF </w:t>
            </w:r>
            <w:r w:rsidR="00CC25C1" w:rsidRPr="00EC0766">
              <w:rPr>
                <w:i/>
              </w:rPr>
              <w:t>a</w:t>
            </w:r>
            <w:r w:rsidR="006D2CE1" w:rsidRPr="00EC0766">
              <w:rPr>
                <w:i/>
              </w:rPr>
              <w:t xml:space="preserve">s an independently </w:t>
            </w:r>
            <w:r w:rsidR="00CC25C1" w:rsidRPr="00EC0766">
              <w:rPr>
                <w:i/>
              </w:rPr>
              <w:t>articulated</w:t>
            </w:r>
            <w:r w:rsidR="005B08E7" w:rsidRPr="00EC0766">
              <w:rPr>
                <w:i/>
              </w:rPr>
              <w:t xml:space="preserve"> </w:t>
            </w:r>
            <w:r w:rsidR="00CC25C1" w:rsidRPr="00EC0766">
              <w:rPr>
                <w:i/>
              </w:rPr>
              <w:t xml:space="preserve">decision making </w:t>
            </w:r>
            <w:r w:rsidR="005B08E7" w:rsidRPr="00EC0766">
              <w:rPr>
                <w:i/>
              </w:rPr>
              <w:t xml:space="preserve">and </w:t>
            </w:r>
            <w:r w:rsidR="009F53A6" w:rsidRPr="00EC0766">
              <w:rPr>
                <w:i/>
              </w:rPr>
              <w:t>control system reflecting</w:t>
            </w:r>
            <w:r w:rsidR="006D2CE1" w:rsidRPr="00EC0766">
              <w:rPr>
                <w:i/>
              </w:rPr>
              <w:t xml:space="preserve"> the bank’s business strategy</w:t>
            </w:r>
            <w:r w:rsidR="009F53A6" w:rsidRPr="00EC0766">
              <w:rPr>
                <w:i/>
              </w:rPr>
              <w:t xml:space="preserve">. RAS should be </w:t>
            </w:r>
            <w:r w:rsidR="00CC25C1" w:rsidRPr="00EC0766">
              <w:rPr>
                <w:i/>
              </w:rPr>
              <w:t>the core of this</w:t>
            </w:r>
            <w:r w:rsidR="009F53A6" w:rsidRPr="00EC0766">
              <w:rPr>
                <w:i/>
              </w:rPr>
              <w:t xml:space="preserve"> articulation</w:t>
            </w:r>
            <w:r w:rsidR="006D2CE1" w:rsidRPr="00EC0766">
              <w:rPr>
                <w:i/>
              </w:rPr>
              <w:t xml:space="preserve"> rather than a </w:t>
            </w:r>
            <w:r w:rsidR="003B0F2E" w:rsidRPr="00EC0766">
              <w:rPr>
                <w:i/>
              </w:rPr>
              <w:t>summary</w:t>
            </w:r>
            <w:r w:rsidR="006D2CE1" w:rsidRPr="00EC0766">
              <w:rPr>
                <w:i/>
              </w:rPr>
              <w:t xml:space="preserve"> version of the </w:t>
            </w:r>
            <w:r w:rsidR="00094B25">
              <w:rPr>
                <w:i/>
              </w:rPr>
              <w:t>bank’s</w:t>
            </w:r>
            <w:r w:rsidR="006D2CE1" w:rsidRPr="00EC0766">
              <w:rPr>
                <w:i/>
              </w:rPr>
              <w:t xml:space="preserve"> ICAAP/ILAAP </w:t>
            </w:r>
            <w:r w:rsidR="009F53A6" w:rsidRPr="00EC0766">
              <w:rPr>
                <w:i/>
              </w:rPr>
              <w:t xml:space="preserve">metrics and </w:t>
            </w:r>
            <w:r w:rsidR="005B08E7" w:rsidRPr="00EC0766">
              <w:rPr>
                <w:i/>
              </w:rPr>
              <w:t>targets.</w:t>
            </w:r>
          </w:p>
          <w:p w:rsidR="00663DB4" w:rsidRPr="000D691B" w:rsidRDefault="00A42957" w:rsidP="00494FEB">
            <w:pPr>
              <w:pStyle w:val="NeAdnumber-level1"/>
              <w:numPr>
                <w:ilvl w:val="0"/>
                <w:numId w:val="0"/>
              </w:numPr>
              <w:rPr>
                <w:i/>
              </w:rPr>
            </w:pPr>
            <w:r>
              <w:rPr>
                <w:i/>
              </w:rPr>
              <w:t>9</w:t>
            </w:r>
            <w:r w:rsidR="005B08E7" w:rsidRPr="00EC0766">
              <w:rPr>
                <w:i/>
              </w:rPr>
              <w:t xml:space="preserve">. Notwithstanding Guideline </w:t>
            </w:r>
            <w:r w:rsidR="00457B60">
              <w:rPr>
                <w:i/>
              </w:rPr>
              <w:t>8</w:t>
            </w:r>
            <w:r w:rsidR="005B08E7" w:rsidRPr="00EC0766">
              <w:rPr>
                <w:i/>
              </w:rPr>
              <w:t>, the RAF</w:t>
            </w:r>
            <w:r w:rsidR="00CC25C1" w:rsidRPr="00EC0766">
              <w:rPr>
                <w:i/>
              </w:rPr>
              <w:t xml:space="preserve"> </w:t>
            </w:r>
            <w:r w:rsidR="005B08E7" w:rsidRPr="00EC0766">
              <w:rPr>
                <w:i/>
              </w:rPr>
              <w:t xml:space="preserve">should </w:t>
            </w:r>
            <w:r w:rsidR="00CC25C1" w:rsidRPr="00EC0766">
              <w:rPr>
                <w:i/>
              </w:rPr>
              <w:t xml:space="preserve">be fully consistent </w:t>
            </w:r>
            <w:r w:rsidR="00494FEB" w:rsidRPr="00EC0766">
              <w:rPr>
                <w:i/>
              </w:rPr>
              <w:t>and, ideally</w:t>
            </w:r>
            <w:r w:rsidR="00CC25C1" w:rsidRPr="00EC0766">
              <w:rPr>
                <w:i/>
              </w:rPr>
              <w:t>, directly linked to the ICAAP/ILAAP and recovery plan approaches and metrics. The concept of risk capacity might be central in this respect.</w:t>
            </w:r>
          </w:p>
        </w:tc>
      </w:tr>
    </w:tbl>
    <w:p w:rsidR="00A07737" w:rsidRDefault="00406908" w:rsidP="00A07737">
      <w:pPr>
        <w:pStyle w:val="NeAdH42"/>
      </w:pPr>
      <w:r>
        <w:t>Discussion</w:t>
      </w:r>
    </w:p>
    <w:p w:rsidR="00891987" w:rsidRDefault="00891987" w:rsidP="00891987">
      <w:pPr>
        <w:pStyle w:val="NeAdnumber-level1"/>
      </w:pPr>
      <w:r>
        <w:t>In our view, the RAF and the ICAAP</w:t>
      </w:r>
      <w:r w:rsidR="00653817">
        <w:t>/ILAAP</w:t>
      </w:r>
      <w:r>
        <w:t xml:space="preserve"> are </w:t>
      </w:r>
      <w:r w:rsidR="00954F45">
        <w:t xml:space="preserve">closely </w:t>
      </w:r>
      <w:r>
        <w:t xml:space="preserve">related but separate frameworks. While they </w:t>
      </w:r>
      <w:r w:rsidR="00954F45">
        <w:t>both are grounded in risk</w:t>
      </w:r>
      <w:r>
        <w:t xml:space="preserve">, they differ in their purpose, direction, and scope, especially their temporal scope. </w:t>
      </w:r>
    </w:p>
    <w:p w:rsidR="00891987" w:rsidRDefault="00891987" w:rsidP="00891987">
      <w:pPr>
        <w:pStyle w:val="NeAdnumber-level1"/>
      </w:pPr>
      <w:r>
        <w:t xml:space="preserve">A bank’s RAF should focus on drawing the perimeter around the overall business strategy and direction of the bank. It includes a set of business-related, forward-looking measures and metrics whose main purpose is to produce </w:t>
      </w:r>
      <w:r w:rsidR="00CA651B">
        <w:t>RAP</w:t>
      </w:r>
      <w:r>
        <w:t xml:space="preserve"> thresholds and limits</w:t>
      </w:r>
      <w:r w:rsidR="00954F45">
        <w:rPr>
          <w:rStyle w:val="Sprotnaopomba-sklic"/>
        </w:rPr>
        <w:footnoteReference w:id="17"/>
      </w:r>
      <w:r>
        <w:t xml:space="preserve">. </w:t>
      </w:r>
      <w:r w:rsidR="00954F45">
        <w:t xml:space="preserve">High </w:t>
      </w:r>
      <w:r w:rsidR="00A86512">
        <w:t>level thresholds</w:t>
      </w:r>
      <w:r>
        <w:t xml:space="preserve"> and limits </w:t>
      </w:r>
      <w:r w:rsidR="00954F45">
        <w:t>circumscribe</w:t>
      </w:r>
      <w:r>
        <w:t xml:space="preserve"> the bank’s business portfolio</w:t>
      </w:r>
      <w:r w:rsidR="00954F45">
        <w:t>(</w:t>
      </w:r>
      <w:r>
        <w:t>s</w:t>
      </w:r>
      <w:r w:rsidR="00954F45">
        <w:t>)</w:t>
      </w:r>
      <w:r>
        <w:t xml:space="preserve"> on an aggregate basis and are then cascaded within each one of the business lines and units through a system of ever more granular portfolio limits. The thresholds and limits</w:t>
      </w:r>
      <w:r w:rsidR="005B08E7">
        <w:t xml:space="preserve"> and relevant escalation and reporting processes</w:t>
      </w:r>
      <w:r>
        <w:t xml:space="preserve"> are </w:t>
      </w:r>
      <w:r w:rsidR="005B08E7">
        <w:t>a critical means of controlling the bank’s risk profile at any given time</w:t>
      </w:r>
      <w:r>
        <w:t>.</w:t>
      </w:r>
    </w:p>
    <w:p w:rsidR="00D04271" w:rsidRDefault="00891987" w:rsidP="00891987">
      <w:pPr>
        <w:pStyle w:val="NeAdnumber-level1"/>
      </w:pPr>
      <w:r>
        <w:t xml:space="preserve">ICAAP and ILAAP </w:t>
      </w:r>
      <w:r w:rsidR="00954F45">
        <w:t xml:space="preserve">are much </w:t>
      </w:r>
      <w:r w:rsidR="006C09E3">
        <w:t xml:space="preserve">detailed </w:t>
      </w:r>
      <w:r w:rsidR="00954F45">
        <w:t xml:space="preserve">in scope than the RAF. </w:t>
      </w:r>
      <w:r w:rsidR="00132812">
        <w:t xml:space="preserve">From a systemic perspective, their architecture </w:t>
      </w:r>
      <w:r w:rsidR="006C09E3">
        <w:t>is related to</w:t>
      </w:r>
      <w:r w:rsidR="00132812">
        <w:t xml:space="preserve"> RAF. Internal capital and liquidity planning cannot be effective without linking to the risks that are inherent to the bank’s businesses strategy. The way the two processes are constructed needs to be consistent. RAF and ICAAP/ILAAP are different but need to be </w:t>
      </w:r>
      <w:r w:rsidR="00E22066">
        <w:t>“</w:t>
      </w:r>
      <w:r w:rsidR="00132812">
        <w:t>joined at the hip</w:t>
      </w:r>
      <w:r w:rsidR="00E22066">
        <w:t>”</w:t>
      </w:r>
      <w:r w:rsidR="00CF7FAE">
        <w:t>.</w:t>
      </w:r>
    </w:p>
    <w:p w:rsidR="00891987" w:rsidRDefault="00954F45" w:rsidP="00891987">
      <w:pPr>
        <w:pStyle w:val="NeAdnumber-level1"/>
      </w:pPr>
      <w:r>
        <w:t xml:space="preserve">At their heart, </w:t>
      </w:r>
      <w:r w:rsidR="00D04271">
        <w:t>ICAAP/ILAAP</w:t>
      </w:r>
      <w:r>
        <w:t xml:space="preserve"> </w:t>
      </w:r>
      <w:r w:rsidR="00891987">
        <w:t xml:space="preserve">provide a taxonomy of </w:t>
      </w:r>
      <w:r>
        <w:t xml:space="preserve">risk </w:t>
      </w:r>
      <w:r w:rsidR="00891987">
        <w:t xml:space="preserve">metrics that are used to calculate internal capital requirements </w:t>
      </w:r>
      <w:r w:rsidR="006C2C90">
        <w:t>calibrated to</w:t>
      </w:r>
      <w:r w:rsidR="00891987">
        <w:t xml:space="preserve"> the current risk profile</w:t>
      </w:r>
      <w:r w:rsidR="00C84CE4">
        <w:rPr>
          <w:rStyle w:val="Sprotnaopomba-sklic"/>
        </w:rPr>
        <w:footnoteReference w:id="18"/>
      </w:r>
      <w:r w:rsidR="00A95B6F">
        <w:t>, thus</w:t>
      </w:r>
      <w:r w:rsidR="00D04271">
        <w:t xml:space="preserve"> ensur</w:t>
      </w:r>
      <w:r w:rsidR="00A95B6F">
        <w:t>ing</w:t>
      </w:r>
      <w:r w:rsidR="00D04271">
        <w:t xml:space="preserve"> the bank’s continuation as a going concern</w:t>
      </w:r>
      <w:r w:rsidR="00891987">
        <w:t xml:space="preserve">. These metrics are modelled on the </w:t>
      </w:r>
      <w:r w:rsidR="00D04271">
        <w:t>Basel “</w:t>
      </w:r>
      <w:r w:rsidR="00891987">
        <w:t>risk canon</w:t>
      </w:r>
      <w:r w:rsidR="00D04271">
        <w:t>”</w:t>
      </w:r>
      <w:r w:rsidR="00891987">
        <w:t xml:space="preserve">, including </w:t>
      </w:r>
      <w:r w:rsidR="00D04271">
        <w:t>all</w:t>
      </w:r>
      <w:r w:rsidR="00891987">
        <w:t xml:space="preserve"> risk areas included in Pillar 1 and Pillar 2 (</w:t>
      </w:r>
      <w:r w:rsidR="00D04271">
        <w:t>e.g</w:t>
      </w:r>
      <w:r w:rsidR="006C2C90">
        <w:t>.</w:t>
      </w:r>
      <w:r w:rsidR="00D04271">
        <w:t xml:space="preserve"> </w:t>
      </w:r>
      <w:r w:rsidR="00891987">
        <w:t xml:space="preserve">credit risk, market risk, operational risk, </w:t>
      </w:r>
      <w:r w:rsidR="00D04271">
        <w:t>liquidity risk,</w:t>
      </w:r>
      <w:r w:rsidR="006C2C90">
        <w:t xml:space="preserve"> </w:t>
      </w:r>
      <w:r w:rsidR="00891987">
        <w:t>IRRBB, profitability risk,</w:t>
      </w:r>
      <w:r w:rsidR="003E6AF8">
        <w:t xml:space="preserve"> and</w:t>
      </w:r>
      <w:r w:rsidR="00891987">
        <w:t xml:space="preserve"> reputational risk). Th</w:t>
      </w:r>
      <w:r w:rsidR="00A95B6F">
        <w:t>is</w:t>
      </w:r>
      <w:r w:rsidR="00D04271">
        <w:t xml:space="preserve"> </w:t>
      </w:r>
      <w:r w:rsidR="00A95B6F">
        <w:t xml:space="preserve">functional </w:t>
      </w:r>
      <w:r w:rsidR="00D04271">
        <w:t xml:space="preserve">taxonomy </w:t>
      </w:r>
      <w:r w:rsidR="00A95B6F">
        <w:t xml:space="preserve">is one-dimensional because </w:t>
      </w:r>
      <w:r w:rsidR="003838B7">
        <w:t xml:space="preserve">of </w:t>
      </w:r>
      <w:r w:rsidR="00A95B6F">
        <w:t>its</w:t>
      </w:r>
      <w:r w:rsidR="003838B7">
        <w:t xml:space="preserve"> single,</w:t>
      </w:r>
      <w:r w:rsidR="00A95B6F">
        <w:t xml:space="preserve"> all-</w:t>
      </w:r>
      <w:r w:rsidR="00AE1239">
        <w:t>important</w:t>
      </w:r>
      <w:r w:rsidR="00A95B6F">
        <w:t xml:space="preserve"> purpose</w:t>
      </w:r>
      <w:r w:rsidR="00AE1239">
        <w:t xml:space="preserve">: </w:t>
      </w:r>
      <w:r w:rsidR="00A95B6F">
        <w:t xml:space="preserve">capital adequacy. </w:t>
      </w:r>
      <w:r w:rsidR="003838B7">
        <w:t xml:space="preserve">However, </w:t>
      </w:r>
      <w:r w:rsidR="00A82142">
        <w:t>the</w:t>
      </w:r>
      <w:r w:rsidR="001830DE">
        <w:t xml:space="preserve"> </w:t>
      </w:r>
      <w:r w:rsidR="00A95B6F">
        <w:t xml:space="preserve">RAF </w:t>
      </w:r>
      <w:r w:rsidR="003838B7">
        <w:t>requires</w:t>
      </w:r>
      <w:r w:rsidR="00A95B6F">
        <w:t xml:space="preserve"> a more dynamic view of risk that </w:t>
      </w:r>
      <w:r w:rsidR="003838B7">
        <w:t xml:space="preserve">can </w:t>
      </w:r>
      <w:r w:rsidR="00A95B6F">
        <w:t xml:space="preserve">accommodate the </w:t>
      </w:r>
      <w:r w:rsidR="001830DE">
        <w:t>essentially</w:t>
      </w:r>
      <w:r w:rsidR="00A95B6F">
        <w:t xml:space="preserve"> forward</w:t>
      </w:r>
      <w:r w:rsidR="00AE1239">
        <w:t>-</w:t>
      </w:r>
      <w:r w:rsidR="00A95B6F">
        <w:t>looking perspective of strategic business planning</w:t>
      </w:r>
      <w:r w:rsidR="00891987">
        <w:t>.</w:t>
      </w:r>
    </w:p>
    <w:p w:rsidR="00A07737" w:rsidRDefault="009D49FD" w:rsidP="00A07737">
      <w:pPr>
        <w:pStyle w:val="NeAdnumber-level1"/>
      </w:pPr>
      <w:r>
        <w:t>I</w:t>
      </w:r>
      <w:r w:rsidR="003838B7">
        <w:t xml:space="preserve">t is </w:t>
      </w:r>
      <w:r>
        <w:t xml:space="preserve">as </w:t>
      </w:r>
      <w:r w:rsidR="003838B7">
        <w:t>important to eventually “translate” RAF metrics into the ICAAP/ILAAP calculation</w:t>
      </w:r>
      <w:r w:rsidR="003E6AF8">
        <w:t>s</w:t>
      </w:r>
      <w:r>
        <w:t xml:space="preserve"> as it is to inform the RAF process with the ICAAP/ILAAP results. However,</w:t>
      </w:r>
      <w:r w:rsidR="003838B7">
        <w:t xml:space="preserve"> </w:t>
      </w:r>
      <w:r w:rsidR="00834B1B">
        <w:t>RAF</w:t>
      </w:r>
      <w:r w:rsidR="003838B7">
        <w:t xml:space="preserve"> metrics need an added dimension that brings them closer to </w:t>
      </w:r>
      <w:r w:rsidR="00482C9F">
        <w:t>the actual</w:t>
      </w:r>
      <w:r w:rsidR="003838B7">
        <w:t xml:space="preserve"> business (and business plan) of the bank.</w:t>
      </w:r>
    </w:p>
    <w:p w:rsidR="00010EE2" w:rsidRDefault="00C00D30" w:rsidP="00010EE2">
      <w:pPr>
        <w:pStyle w:val="NeAdnumber-level1"/>
      </w:pPr>
      <w:r>
        <w:t xml:space="preserve">In addition to consistency </w:t>
      </w:r>
      <w:r w:rsidR="00E00315">
        <w:t xml:space="preserve">with </w:t>
      </w:r>
      <w:r>
        <w:t>and “hardwiring</w:t>
      </w:r>
      <w:r w:rsidR="00E00315">
        <w:t>”</w:t>
      </w:r>
      <w:r>
        <w:t xml:space="preserve"> </w:t>
      </w:r>
      <w:r w:rsidR="00E00315">
        <w:t>into</w:t>
      </w:r>
      <w:r>
        <w:t xml:space="preserve"> the ICAAP/ILAAP, the RAF needs to be consistent with </w:t>
      </w:r>
      <w:r w:rsidR="00EB42CC" w:rsidRPr="00A32CA9">
        <w:t>recovery planning</w:t>
      </w:r>
      <w:r>
        <w:t xml:space="preserve"> as </w:t>
      </w:r>
      <w:r w:rsidR="00E00315">
        <w:t>mandated</w:t>
      </w:r>
      <w:r>
        <w:t xml:space="preserve"> by the </w:t>
      </w:r>
      <w:r w:rsidR="00EB42CC">
        <w:t xml:space="preserve">BRRD. </w:t>
      </w:r>
    </w:p>
    <w:p w:rsidR="006C564E" w:rsidRDefault="00EB42CC" w:rsidP="006C564E">
      <w:pPr>
        <w:pStyle w:val="NeAdnumber-level1"/>
      </w:pPr>
      <w:r>
        <w:t>According</w:t>
      </w:r>
      <w:r w:rsidR="00CC66BA">
        <w:t xml:space="preserve"> to</w:t>
      </w:r>
      <w:r>
        <w:t xml:space="preserve"> </w:t>
      </w:r>
      <w:r w:rsidR="00CC66BA">
        <w:t>relevant</w:t>
      </w:r>
      <w:r>
        <w:t xml:space="preserve"> </w:t>
      </w:r>
      <w:r w:rsidRPr="00190469">
        <w:t>EBA</w:t>
      </w:r>
      <w:r>
        <w:t xml:space="preserve"> </w:t>
      </w:r>
      <w:r w:rsidR="008B475D">
        <w:t>guidance, scenarios</w:t>
      </w:r>
      <w:r>
        <w:t xml:space="preserve"> under</w:t>
      </w:r>
      <w:r w:rsidR="00C00D30">
        <w:t>pinning</w:t>
      </w:r>
      <w:r>
        <w:t xml:space="preserve"> the recovery plan should account for severe stress to the bank in the following areas: capital, liquidity, profitability, risk profile, operations, and reputation.</w:t>
      </w:r>
      <w:r w:rsidR="00FF2A77">
        <w:rPr>
          <w:rStyle w:val="Sprotnaopomba-sklic"/>
        </w:rPr>
        <w:footnoteReference w:id="19"/>
      </w:r>
      <w:r>
        <w:t xml:space="preserve"> </w:t>
      </w:r>
      <w:r w:rsidR="006C564E">
        <w:t>For each</w:t>
      </w:r>
      <w:r>
        <w:t xml:space="preserve"> stress scenario, the recovery plan has to establish appropriate triggers</w:t>
      </w:r>
      <w:r w:rsidR="006C564E">
        <w:t xml:space="preserve"> for the recovery process to take effect</w:t>
      </w:r>
      <w:r>
        <w:t>, i.e. “recovery indicators”.</w:t>
      </w:r>
    </w:p>
    <w:p w:rsidR="00EB42CC" w:rsidRDefault="00C00D30" w:rsidP="00EB42CC">
      <w:pPr>
        <w:pStyle w:val="NeAdnumber-level1"/>
      </w:pPr>
      <w:r>
        <w:t>The RAF and recovery planning are both forward</w:t>
      </w:r>
      <w:r w:rsidR="00DC0E21">
        <w:t>-</w:t>
      </w:r>
      <w:r>
        <w:t>looking</w:t>
      </w:r>
      <w:r w:rsidR="00DC0E21">
        <w:t>,</w:t>
      </w:r>
      <w:r>
        <w:t xml:space="preserve"> business</w:t>
      </w:r>
      <w:r w:rsidR="00DC0E21">
        <w:t>-</w:t>
      </w:r>
      <w:r>
        <w:t>related, risk</w:t>
      </w:r>
      <w:r w:rsidR="008B475D">
        <w:t>-</w:t>
      </w:r>
      <w:r>
        <w:t>based</w:t>
      </w:r>
      <w:r w:rsidR="00DC0E21">
        <w:t xml:space="preserve"> processes.</w:t>
      </w:r>
      <w:r>
        <w:t xml:space="preserve"> </w:t>
      </w:r>
      <w:r w:rsidR="00DC0E21">
        <w:t>As such</w:t>
      </w:r>
      <w:r w:rsidR="00EB42CC">
        <w:t xml:space="preserve">, there is scope for significant </w:t>
      </w:r>
      <w:r>
        <w:t>coordination</w:t>
      </w:r>
      <w:r w:rsidR="00EB42CC">
        <w:t xml:space="preserve"> between the</w:t>
      </w:r>
      <w:r w:rsidR="00DC0E21">
        <w:t>m.</w:t>
      </w:r>
      <w:r w:rsidR="00EB42CC">
        <w:t xml:space="preserve"> </w:t>
      </w:r>
      <w:r w:rsidR="008E161B">
        <w:t>F</w:t>
      </w:r>
      <w:r w:rsidR="00DC0E21">
        <w:t>rom a supervisory perspective</w:t>
      </w:r>
      <w:r w:rsidR="008E161B">
        <w:t xml:space="preserve">, </w:t>
      </w:r>
      <w:r w:rsidR="008B475D">
        <w:t>consistency is</w:t>
      </w:r>
      <w:r w:rsidR="008E161B">
        <w:t xml:space="preserve"> expected across them and ICAAP</w:t>
      </w:r>
      <w:r w:rsidR="00360709">
        <w:t>/ILAAP</w:t>
      </w:r>
      <w:r w:rsidR="008E161B">
        <w:t xml:space="preserve"> in the context of the SREP.</w:t>
      </w:r>
      <w:r w:rsidR="00DC0E21">
        <w:t xml:space="preserve"> </w:t>
      </w:r>
      <w:r w:rsidR="008E161B">
        <w:t>But coordination also makes sense</w:t>
      </w:r>
      <w:r w:rsidR="00DC0E21">
        <w:t xml:space="preserve"> from</w:t>
      </w:r>
      <w:r w:rsidR="008E161B">
        <w:t xml:space="preserve"> the </w:t>
      </w:r>
      <w:r w:rsidR="007F69F2">
        <w:t>bank</w:t>
      </w:r>
      <w:r w:rsidR="008E161B">
        <w:t>’s perspective. Combining the process of reviewing and setting RA</w:t>
      </w:r>
      <w:r w:rsidR="008B475D">
        <w:t>P</w:t>
      </w:r>
      <w:r w:rsidR="008E161B">
        <w:t xml:space="preserve"> with recovery planning, especially when it comes to adopting relevant firm</w:t>
      </w:r>
      <w:r w:rsidR="001830DE">
        <w:t>-</w:t>
      </w:r>
      <w:r w:rsidR="008E161B">
        <w:t xml:space="preserve">wide </w:t>
      </w:r>
      <w:r w:rsidR="008B475D">
        <w:t>scenarios</w:t>
      </w:r>
      <w:r w:rsidR="008E161B">
        <w:t xml:space="preserve"> and setting </w:t>
      </w:r>
      <w:r w:rsidR="00E64434">
        <w:t xml:space="preserve">mutually coherent </w:t>
      </w:r>
      <w:r w:rsidR="008E161B">
        <w:t xml:space="preserve">relevant </w:t>
      </w:r>
      <w:r w:rsidR="009D49FD">
        <w:t xml:space="preserve">thresholds and </w:t>
      </w:r>
      <w:r w:rsidR="008E161B">
        <w:t>triggers</w:t>
      </w:r>
      <w:r w:rsidR="00E64434">
        <w:t xml:space="preserve"> across the two frameworks</w:t>
      </w:r>
      <w:r w:rsidR="008B475D">
        <w:t>,</w:t>
      </w:r>
      <w:r w:rsidR="008E161B">
        <w:t xml:space="preserve"> effectively promotes streamlined </w:t>
      </w:r>
      <w:r w:rsidR="00DC0E21">
        <w:t>risk governanc</w:t>
      </w:r>
      <w:r w:rsidR="008E161B">
        <w:t xml:space="preserve">e within the </w:t>
      </w:r>
      <w:r w:rsidR="007F69F2">
        <w:t>bank</w:t>
      </w:r>
      <w:r w:rsidR="009D49FD">
        <w:rPr>
          <w:rStyle w:val="Sprotnaopomba-sklic"/>
        </w:rPr>
        <w:footnoteReference w:id="20"/>
      </w:r>
      <w:r w:rsidR="008E161B">
        <w:t>.</w:t>
      </w:r>
      <w:r w:rsidR="00DC0E21">
        <w:t xml:space="preserve"> </w:t>
      </w:r>
      <w:r w:rsidR="008E161B">
        <w:t>While few banks seem</w:t>
      </w:r>
      <w:r w:rsidR="001830DE">
        <w:t xml:space="preserve"> </w:t>
      </w:r>
      <w:r w:rsidR="008E161B">
        <w:t>to follow such an integrated approach</w:t>
      </w:r>
      <w:r w:rsidR="00F86EF5">
        <w:t xml:space="preserve"> today</w:t>
      </w:r>
      <w:r w:rsidR="008E161B">
        <w:t xml:space="preserve">, </w:t>
      </w:r>
      <w:r w:rsidR="00094B25">
        <w:t>banks</w:t>
      </w:r>
      <w:r w:rsidR="00E86838">
        <w:t xml:space="preserve"> should consider this going forward</w:t>
      </w:r>
      <w:r w:rsidR="008E161B">
        <w:t>.</w:t>
      </w:r>
    </w:p>
    <w:p w:rsidR="00EB42CC" w:rsidRDefault="00DC0E21" w:rsidP="00EB42CC">
      <w:pPr>
        <w:pStyle w:val="NeAdnumber-level1"/>
      </w:pPr>
      <w:r>
        <w:t>In fact</w:t>
      </w:r>
      <w:r w:rsidR="00EB42CC">
        <w:t>, the concept of risk capacity</w:t>
      </w:r>
      <w:r>
        <w:t xml:space="preserve"> </w:t>
      </w:r>
      <w:r w:rsidR="003E6AF8">
        <w:t>(</w:t>
      </w:r>
      <w:r>
        <w:t>i.e.</w:t>
      </w:r>
      <w:r w:rsidR="00EB42CC">
        <w:t xml:space="preserve"> </w:t>
      </w:r>
      <w:r>
        <w:t xml:space="preserve">the maximum level of risk a </w:t>
      </w:r>
      <w:r w:rsidR="00094B25">
        <w:t>bank</w:t>
      </w:r>
      <w:r>
        <w:t xml:space="preserve"> can assume given its current level of resources</w:t>
      </w:r>
      <w:r w:rsidR="003E6AF8">
        <w:t>)</w:t>
      </w:r>
      <w:r>
        <w:t xml:space="preserve"> </w:t>
      </w:r>
      <w:r w:rsidR="00EB42CC">
        <w:t xml:space="preserve">is central to </w:t>
      </w:r>
      <w:r>
        <w:t xml:space="preserve">all </w:t>
      </w:r>
      <w:r w:rsidR="008E161B">
        <w:t xml:space="preserve">the </w:t>
      </w:r>
      <w:r>
        <w:t>three frameworks that underpin bank solvency: RAF, ICAA</w:t>
      </w:r>
      <w:r w:rsidR="00E760D7">
        <w:t>P</w:t>
      </w:r>
      <w:r w:rsidR="00360709">
        <w:t>/ILAAP</w:t>
      </w:r>
      <w:r w:rsidR="00E760D7">
        <w:t xml:space="preserve">, </w:t>
      </w:r>
      <w:r>
        <w:t xml:space="preserve">and </w:t>
      </w:r>
      <w:r w:rsidRPr="00280387">
        <w:t>recovery planning</w:t>
      </w:r>
      <w:r>
        <w:t>.</w:t>
      </w:r>
      <w:r w:rsidR="008E161B">
        <w:t xml:space="preserve"> The need for consistency suggests that</w:t>
      </w:r>
      <w:r w:rsidR="00EB42CC">
        <w:t xml:space="preserve"> </w:t>
      </w:r>
      <w:r w:rsidR="008E161B">
        <w:t>the definition of a bank’s risk capacity must serve as the link between the three frameworks and should therefore be coherent across them.</w:t>
      </w:r>
    </w:p>
    <w:p w:rsidR="00867D5B" w:rsidRPr="007E1A43" w:rsidRDefault="00867D5B" w:rsidP="00867D5B">
      <w:pPr>
        <w:pStyle w:val="NeAdH3"/>
      </w:pPr>
      <w:bookmarkStart w:id="24" w:name="_Toc510622697"/>
      <w:r w:rsidRPr="007E1A43">
        <w:t>Elements of the RAF</w:t>
      </w:r>
      <w:bookmarkEnd w:id="24"/>
    </w:p>
    <w:p w:rsidR="007E63BD" w:rsidRPr="007E63BD" w:rsidRDefault="00406908" w:rsidP="007E63BD">
      <w:pPr>
        <w:pStyle w:val="NeAdH42"/>
      </w:pPr>
      <w:r>
        <w:t>Guidelines</w:t>
      </w:r>
    </w:p>
    <w:tbl>
      <w:tblPr>
        <w:tblStyle w:val="Tabelamrea"/>
        <w:tblW w:w="0" w:type="auto"/>
        <w:tblInd w:w="-147" w:type="dxa"/>
        <w:tblLook w:val="04A0" w:firstRow="1" w:lastRow="0" w:firstColumn="1" w:lastColumn="0" w:noHBand="0" w:noVBand="1"/>
      </w:tblPr>
      <w:tblGrid>
        <w:gridCol w:w="8642"/>
      </w:tblGrid>
      <w:tr w:rsidR="00902123" w:rsidTr="00665F28">
        <w:trPr>
          <w:trHeight w:val="983"/>
        </w:trPr>
        <w:tc>
          <w:tcPr>
            <w:tcW w:w="8642" w:type="dxa"/>
            <w:shd w:val="clear" w:color="auto" w:fill="B4C6E7" w:themeFill="accent1" w:themeFillTint="66"/>
          </w:tcPr>
          <w:p w:rsidR="00AD3A65" w:rsidRDefault="00AD3A65" w:rsidP="00902123">
            <w:pPr>
              <w:pStyle w:val="NeAdnumber-level1"/>
              <w:numPr>
                <w:ilvl w:val="0"/>
                <w:numId w:val="0"/>
              </w:numPr>
              <w:rPr>
                <w:i/>
              </w:rPr>
            </w:pPr>
            <w:r w:rsidRPr="00EC0766">
              <w:rPr>
                <w:i/>
              </w:rPr>
              <w:t>1</w:t>
            </w:r>
            <w:r w:rsidR="00A42957">
              <w:rPr>
                <w:i/>
              </w:rPr>
              <w:t>0</w:t>
            </w:r>
            <w:r w:rsidRPr="00EC0766">
              <w:rPr>
                <w:i/>
              </w:rPr>
              <w:t xml:space="preserve">. </w:t>
            </w:r>
            <w:r w:rsidR="00AD0334">
              <w:rPr>
                <w:i/>
              </w:rPr>
              <w:t>The b</w:t>
            </w:r>
            <w:r w:rsidRPr="00EC0766">
              <w:rPr>
                <w:i/>
              </w:rPr>
              <w:t xml:space="preserve">ank should establish a quantitative definition of </w:t>
            </w:r>
            <w:r w:rsidR="00B51789">
              <w:rPr>
                <w:i/>
              </w:rPr>
              <w:t>its</w:t>
            </w:r>
            <w:r w:rsidRPr="00EC0766">
              <w:rPr>
                <w:i/>
              </w:rPr>
              <w:t xml:space="preserve"> risk capacity, ideally expressed in capital terms.</w:t>
            </w:r>
          </w:p>
          <w:p w:rsidR="00425A43" w:rsidRPr="00EC0766" w:rsidRDefault="00AD3A65" w:rsidP="00902123">
            <w:pPr>
              <w:pStyle w:val="NeAdnumber-level1"/>
              <w:numPr>
                <w:ilvl w:val="0"/>
                <w:numId w:val="0"/>
              </w:numPr>
              <w:rPr>
                <w:i/>
              </w:rPr>
            </w:pPr>
            <w:r>
              <w:rPr>
                <w:i/>
              </w:rPr>
              <w:t>1</w:t>
            </w:r>
            <w:r w:rsidR="00A42957">
              <w:rPr>
                <w:i/>
              </w:rPr>
              <w:t>1</w:t>
            </w:r>
            <w:r>
              <w:rPr>
                <w:i/>
              </w:rPr>
              <w:t xml:space="preserve">. </w:t>
            </w:r>
            <w:r w:rsidR="00AD0334">
              <w:rPr>
                <w:i/>
              </w:rPr>
              <w:t xml:space="preserve">The bank </w:t>
            </w:r>
            <w:r w:rsidR="00425A43" w:rsidRPr="00EC0766">
              <w:rPr>
                <w:i/>
              </w:rPr>
              <w:t>should</w:t>
            </w:r>
            <w:r w:rsidR="00902123" w:rsidRPr="00EC0766">
              <w:rPr>
                <w:i/>
              </w:rPr>
              <w:t xml:space="preserve"> </w:t>
            </w:r>
            <w:r w:rsidR="00425A43" w:rsidRPr="00EC0766">
              <w:rPr>
                <w:i/>
              </w:rPr>
              <w:t>establish</w:t>
            </w:r>
            <w:r w:rsidR="00902123" w:rsidRPr="00EC0766">
              <w:rPr>
                <w:i/>
              </w:rPr>
              <w:t xml:space="preserve"> an institution-wide </w:t>
            </w:r>
            <w:r w:rsidR="00CA651B" w:rsidRPr="00EC0766">
              <w:rPr>
                <w:i/>
              </w:rPr>
              <w:t>RAP</w:t>
            </w:r>
            <w:r w:rsidR="00425A43" w:rsidRPr="00EC0766">
              <w:rPr>
                <w:i/>
              </w:rPr>
              <w:t xml:space="preserve"> which should be within the general perimeter of </w:t>
            </w:r>
            <w:r w:rsidR="00015C82">
              <w:rPr>
                <w:i/>
              </w:rPr>
              <w:t>its</w:t>
            </w:r>
            <w:r w:rsidR="00425A43" w:rsidRPr="00EC0766">
              <w:rPr>
                <w:i/>
              </w:rPr>
              <w:t xml:space="preserve"> risk capacity</w:t>
            </w:r>
            <w:r w:rsidR="00231A53">
              <w:rPr>
                <w:i/>
              </w:rPr>
              <w:t>.</w:t>
            </w:r>
            <w:r w:rsidR="00902123" w:rsidRPr="00EC0766">
              <w:rPr>
                <w:i/>
              </w:rPr>
              <w:t xml:space="preserve"> </w:t>
            </w:r>
            <w:r w:rsidR="00425A43" w:rsidRPr="00EC0766">
              <w:rPr>
                <w:i/>
              </w:rPr>
              <w:t xml:space="preserve">The RAP </w:t>
            </w:r>
            <w:r w:rsidR="00DF5236" w:rsidRPr="00EC0766">
              <w:rPr>
                <w:i/>
              </w:rPr>
              <w:t xml:space="preserve">structure </w:t>
            </w:r>
            <w:r w:rsidR="00425A43" w:rsidRPr="00EC0766">
              <w:rPr>
                <w:i/>
              </w:rPr>
              <w:t>should be articulated through the RAS</w:t>
            </w:r>
            <w:r w:rsidR="001D65DB">
              <w:rPr>
                <w:i/>
              </w:rPr>
              <w:t>.</w:t>
            </w:r>
          </w:p>
          <w:p w:rsidR="00425A43" w:rsidRPr="00EC0766" w:rsidRDefault="00425A43" w:rsidP="00902123">
            <w:pPr>
              <w:pStyle w:val="NeAdnumber-level1"/>
              <w:numPr>
                <w:ilvl w:val="0"/>
                <w:numId w:val="0"/>
              </w:numPr>
              <w:rPr>
                <w:i/>
              </w:rPr>
            </w:pPr>
            <w:r w:rsidRPr="00EC0766">
              <w:rPr>
                <w:i/>
              </w:rPr>
              <w:t>1</w:t>
            </w:r>
            <w:r w:rsidR="00A42957">
              <w:rPr>
                <w:i/>
              </w:rPr>
              <w:t>2</w:t>
            </w:r>
            <w:r w:rsidRPr="00EC0766">
              <w:rPr>
                <w:i/>
              </w:rPr>
              <w:t xml:space="preserve">. </w:t>
            </w:r>
            <w:r w:rsidR="00902123" w:rsidRPr="00EC0766">
              <w:rPr>
                <w:i/>
              </w:rPr>
              <w:t>Th</w:t>
            </w:r>
            <w:r w:rsidRPr="00EC0766">
              <w:rPr>
                <w:i/>
              </w:rPr>
              <w:t>e</w:t>
            </w:r>
            <w:r w:rsidR="00902123" w:rsidRPr="00EC0766">
              <w:rPr>
                <w:i/>
              </w:rPr>
              <w:t xml:space="preserve"> </w:t>
            </w:r>
            <w:r w:rsidR="00CA651B" w:rsidRPr="00EC0766">
              <w:rPr>
                <w:i/>
              </w:rPr>
              <w:t>RA</w:t>
            </w:r>
            <w:r w:rsidRPr="00EC0766">
              <w:rPr>
                <w:i/>
              </w:rPr>
              <w:t xml:space="preserve">S </w:t>
            </w:r>
            <w:r w:rsidR="00353DAC" w:rsidRPr="00EC0766">
              <w:rPr>
                <w:i/>
              </w:rPr>
              <w:t>should also</w:t>
            </w:r>
            <w:r w:rsidRPr="00EC0766">
              <w:rPr>
                <w:i/>
              </w:rPr>
              <w:t xml:space="preserve"> identify the key categories of risk related to the most important businesses of the bank (including, </w:t>
            </w:r>
            <w:r w:rsidR="00353DAC" w:rsidRPr="00EC0766">
              <w:rPr>
                <w:i/>
              </w:rPr>
              <w:t>if</w:t>
            </w:r>
            <w:r w:rsidRPr="00EC0766">
              <w:rPr>
                <w:i/>
              </w:rPr>
              <w:t xml:space="preserve"> re</w:t>
            </w:r>
            <w:r w:rsidR="00353DAC" w:rsidRPr="00EC0766">
              <w:rPr>
                <w:i/>
              </w:rPr>
              <w:t>le</w:t>
            </w:r>
            <w:r w:rsidRPr="00EC0766">
              <w:rPr>
                <w:i/>
              </w:rPr>
              <w:t>vant</w:t>
            </w:r>
            <w:r w:rsidR="00353DAC" w:rsidRPr="00EC0766">
              <w:rPr>
                <w:i/>
              </w:rPr>
              <w:t>,</w:t>
            </w:r>
            <w:r w:rsidRPr="00EC0766">
              <w:rPr>
                <w:i/>
              </w:rPr>
              <w:t xml:space="preserve"> legal entities or areas of activity) and the metrics or qualitative criteria for</w:t>
            </w:r>
            <w:r w:rsidR="00DA78A4" w:rsidRPr="00EC0766">
              <w:rPr>
                <w:i/>
              </w:rPr>
              <w:t xml:space="preserve"> </w:t>
            </w:r>
            <w:r w:rsidRPr="00EC0766">
              <w:rPr>
                <w:i/>
              </w:rPr>
              <w:t>assessing risk levels in these areas.</w:t>
            </w:r>
          </w:p>
          <w:p w:rsidR="00425A43" w:rsidRPr="00EC0766" w:rsidRDefault="00425A43" w:rsidP="00902123">
            <w:pPr>
              <w:pStyle w:val="NeAdnumber-level1"/>
              <w:numPr>
                <w:ilvl w:val="0"/>
                <w:numId w:val="0"/>
              </w:numPr>
              <w:rPr>
                <w:i/>
              </w:rPr>
            </w:pPr>
            <w:r w:rsidRPr="00EC0766">
              <w:rPr>
                <w:i/>
              </w:rPr>
              <w:t>1</w:t>
            </w:r>
            <w:r w:rsidR="00A42957">
              <w:rPr>
                <w:i/>
              </w:rPr>
              <w:t>3</w:t>
            </w:r>
            <w:r w:rsidRPr="00EC0766">
              <w:rPr>
                <w:i/>
              </w:rPr>
              <w:t xml:space="preserve">. The RAF </w:t>
            </w:r>
            <w:r w:rsidR="00AD0334">
              <w:rPr>
                <w:i/>
              </w:rPr>
              <w:t xml:space="preserve">should </w:t>
            </w:r>
            <w:r w:rsidRPr="00EC0766">
              <w:rPr>
                <w:i/>
              </w:rPr>
              <w:t xml:space="preserve">consist </w:t>
            </w:r>
            <w:r w:rsidR="006C25BC">
              <w:rPr>
                <w:i/>
              </w:rPr>
              <w:t>of</w:t>
            </w:r>
            <w:r w:rsidRPr="00EC0766">
              <w:rPr>
                <w:i/>
              </w:rPr>
              <w:t xml:space="preserve"> the system of</w:t>
            </w:r>
            <w:r w:rsidR="00DA78A4" w:rsidRPr="00EC0766">
              <w:rPr>
                <w:i/>
              </w:rPr>
              <w:t xml:space="preserve"> </w:t>
            </w:r>
            <w:r w:rsidRPr="00EC0766">
              <w:rPr>
                <w:i/>
              </w:rPr>
              <w:t>thresholds and limits established in each area and further cascaded within each business or area of activity.</w:t>
            </w:r>
          </w:p>
          <w:p w:rsidR="00902123" w:rsidRPr="00EC0766" w:rsidRDefault="00425A43" w:rsidP="00F0699E">
            <w:pPr>
              <w:pStyle w:val="NeAdnumber-level1"/>
              <w:numPr>
                <w:ilvl w:val="0"/>
                <w:numId w:val="0"/>
              </w:numPr>
              <w:spacing w:after="0"/>
              <w:rPr>
                <w:i/>
              </w:rPr>
            </w:pPr>
            <w:r w:rsidRPr="00EC0766">
              <w:rPr>
                <w:i/>
              </w:rPr>
              <w:t>1</w:t>
            </w:r>
            <w:r w:rsidR="00A42957">
              <w:rPr>
                <w:i/>
              </w:rPr>
              <w:t>4</w:t>
            </w:r>
            <w:r w:rsidRPr="00EC0766">
              <w:rPr>
                <w:i/>
              </w:rPr>
              <w:t xml:space="preserve">. </w:t>
            </w:r>
            <w:r w:rsidR="00902123" w:rsidRPr="00EC0766">
              <w:rPr>
                <w:i/>
              </w:rPr>
              <w:t xml:space="preserve">The system of </w:t>
            </w:r>
            <w:r w:rsidR="00CA651B" w:rsidRPr="00EC0766">
              <w:rPr>
                <w:i/>
              </w:rPr>
              <w:t>RAP</w:t>
            </w:r>
            <w:r w:rsidR="00902123" w:rsidRPr="00EC0766">
              <w:rPr>
                <w:i/>
              </w:rPr>
              <w:t xml:space="preserve"> thresholds and limits should be supported by regular stress testing at the institution-wide level.</w:t>
            </w:r>
          </w:p>
        </w:tc>
      </w:tr>
    </w:tbl>
    <w:p w:rsidR="00082AE1" w:rsidRDefault="00406908" w:rsidP="00082AE1">
      <w:pPr>
        <w:pStyle w:val="NeAdH42"/>
      </w:pPr>
      <w:r>
        <w:t>Discussion</w:t>
      </w:r>
    </w:p>
    <w:p w:rsidR="00082AE1" w:rsidRDefault="00082AE1" w:rsidP="00082AE1">
      <w:pPr>
        <w:pStyle w:val="NeAdnumber-level1"/>
      </w:pPr>
      <w:r w:rsidRPr="00B33558">
        <w:t xml:space="preserve">The </w:t>
      </w:r>
      <w:r>
        <w:t xml:space="preserve">first step in developing a RAS is the definition of the bank’s </w:t>
      </w:r>
      <w:r w:rsidRPr="00B33558">
        <w:t>risk capacity.</w:t>
      </w:r>
      <w:r>
        <w:t xml:space="preserve"> </w:t>
      </w:r>
      <w:r w:rsidR="005E1936">
        <w:t>The r</w:t>
      </w:r>
      <w:r>
        <w:t>isk capacity should be understood as the</w:t>
      </w:r>
      <w:r w:rsidR="005E1936">
        <w:t xml:space="preserve"> “risk frontier”:</w:t>
      </w:r>
      <w:r>
        <w:t xml:space="preserve"> </w:t>
      </w:r>
      <w:r w:rsidR="008E583A">
        <w:t xml:space="preserve">the </w:t>
      </w:r>
      <w:r>
        <w:t xml:space="preserve">outer perimeter of the risk level that a </w:t>
      </w:r>
      <w:r w:rsidR="00094B25">
        <w:t>bank</w:t>
      </w:r>
      <w:r>
        <w:t xml:space="preserve"> can assume given operational and regulatory </w:t>
      </w:r>
      <w:r w:rsidR="00767456">
        <w:t>constraints, before</w:t>
      </w:r>
      <w:r w:rsidR="00492037">
        <w:t xml:space="preserve"> its </w:t>
      </w:r>
      <w:r w:rsidR="00F24B32">
        <w:t xml:space="preserve">status as a </w:t>
      </w:r>
      <w:r w:rsidR="00492037">
        <w:t>going co</w:t>
      </w:r>
      <w:r w:rsidR="00165D6B">
        <w:t>ncern is challenged</w:t>
      </w:r>
      <w:r>
        <w:t xml:space="preserve">. </w:t>
      </w:r>
      <w:r w:rsidR="009C4952">
        <w:t>T</w:t>
      </w:r>
      <w:r>
        <w:t xml:space="preserve">he institution-wide </w:t>
      </w:r>
      <w:r w:rsidR="00CA651B">
        <w:t>RAP</w:t>
      </w:r>
      <w:r>
        <w:t xml:space="preserve"> </w:t>
      </w:r>
      <w:r w:rsidR="009C4952">
        <w:t xml:space="preserve">as articulated in the RAS </w:t>
      </w:r>
      <w:r>
        <w:t xml:space="preserve">must be situated </w:t>
      </w:r>
      <w:r w:rsidR="009C4952">
        <w:t xml:space="preserve">well </w:t>
      </w:r>
      <w:r>
        <w:t xml:space="preserve">within this broader </w:t>
      </w:r>
      <w:r w:rsidR="009C4952">
        <w:t xml:space="preserve">perimeter. In other words, there should be a </w:t>
      </w:r>
      <w:r w:rsidR="009C4952" w:rsidRPr="00895950">
        <w:rPr>
          <w:i/>
        </w:rPr>
        <w:t xml:space="preserve">buffer </w:t>
      </w:r>
      <w:r w:rsidR="009C4952">
        <w:t xml:space="preserve">between the definition of the risk capacity and the total risk appetite of the </w:t>
      </w:r>
      <w:r w:rsidR="00094B25">
        <w:t>bank</w:t>
      </w:r>
      <w:r w:rsidR="009C4952">
        <w:t xml:space="preserve">. Therefore, the </w:t>
      </w:r>
      <w:r w:rsidR="00FB06CB">
        <w:t>risk capacity (and the buffer)</w:t>
      </w:r>
      <w:r w:rsidR="009C4952">
        <w:t xml:space="preserve"> should be expressed in terms that can be compared to the metrics used for risk appetite.</w:t>
      </w:r>
      <w:r w:rsidR="004D4867">
        <w:t xml:space="preserve"> The concepts are illustrated in graph </w:t>
      </w:r>
      <w:r w:rsidR="003E6AF8">
        <w:t>B</w:t>
      </w:r>
      <w:r w:rsidR="004D4867">
        <w:t xml:space="preserve"> below:</w:t>
      </w:r>
    </w:p>
    <w:p w:rsidR="00F72253" w:rsidRDefault="00A05D65" w:rsidP="00F72253">
      <w:pPr>
        <w:pStyle w:val="NeAdnumber-level1"/>
        <w:numPr>
          <w:ilvl w:val="0"/>
          <w:numId w:val="0"/>
        </w:numPr>
        <w:ind w:left="567"/>
      </w:pPr>
      <w:r w:rsidRPr="006649DA">
        <w:rPr>
          <w:noProof/>
          <w:lang w:val="sl-SI" w:eastAsia="sl-SI"/>
        </w:rPr>
        <w:drawing>
          <wp:inline distT="0" distB="0" distL="0" distR="0" wp14:anchorId="68DF2FB3" wp14:editId="07908A45">
            <wp:extent cx="3612911" cy="354216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612911" cy="3542169"/>
                    </a:xfrm>
                    <a:prstGeom prst="rect">
                      <a:avLst/>
                    </a:prstGeom>
                    <a:noFill/>
                  </pic:spPr>
                </pic:pic>
              </a:graphicData>
            </a:graphic>
          </wp:inline>
        </w:drawing>
      </w:r>
    </w:p>
    <w:p w:rsidR="00082AE1" w:rsidRDefault="003E3D2F" w:rsidP="00003FA1">
      <w:pPr>
        <w:pStyle w:val="NeAdnumber-level1"/>
      </w:pPr>
      <w:r>
        <w:t>D</w:t>
      </w:r>
      <w:r w:rsidR="00082AE1" w:rsidRPr="005D5AC0">
        <w:t xml:space="preserve">efining a </w:t>
      </w:r>
      <w:r w:rsidR="00094B25">
        <w:t>bank’s</w:t>
      </w:r>
      <w:r w:rsidR="00082AE1" w:rsidRPr="005D5AC0">
        <w:t xml:space="preserve"> risk capacity </w:t>
      </w:r>
      <w:r w:rsidR="00082AE1">
        <w:t xml:space="preserve">is a </w:t>
      </w:r>
      <w:r w:rsidR="00082AE1" w:rsidRPr="005D5AC0">
        <w:t>crucial step in developing a</w:t>
      </w:r>
      <w:r w:rsidR="00082AE1">
        <w:t xml:space="preserve"> comprehensive and effective RAS</w:t>
      </w:r>
      <w:r w:rsidR="00082AE1" w:rsidRPr="005D5AC0">
        <w:t>.</w:t>
      </w:r>
      <w:r w:rsidR="00082AE1">
        <w:t xml:space="preserve"> </w:t>
      </w:r>
      <w:r w:rsidR="00D54577">
        <w:t>As noted above, it is also the area in which the concept of RAP connects directly with those of ICAAP/ILAAP and recovery planning. Therefore, r</w:t>
      </w:r>
      <w:r w:rsidR="00082AE1">
        <w:t xml:space="preserve">isk capacity </w:t>
      </w:r>
      <w:r w:rsidR="00D54577">
        <w:t>would</w:t>
      </w:r>
      <w:r w:rsidR="00E25EEF">
        <w:t xml:space="preserve"> ideally</w:t>
      </w:r>
      <w:r w:rsidR="00D54577">
        <w:t xml:space="preserve"> be calculated in terms of capital</w:t>
      </w:r>
      <w:r w:rsidR="007E63D8">
        <w:t xml:space="preserve"> adequacy</w:t>
      </w:r>
      <w:r w:rsidR="00862A5D">
        <w:rPr>
          <w:rStyle w:val="Sprotnaopomba-sklic"/>
        </w:rPr>
        <w:footnoteReference w:id="21"/>
      </w:r>
      <w:r w:rsidR="0036783A">
        <w:t>,</w:t>
      </w:r>
      <w:r w:rsidR="00353DAC">
        <w:t xml:space="preserve"> although some banks might ch</w:t>
      </w:r>
      <w:r w:rsidR="00FB06CB">
        <w:t>o</w:t>
      </w:r>
      <w:r w:rsidR="00353DAC">
        <w:t>ose risk</w:t>
      </w:r>
      <w:r w:rsidR="00DA5AFD">
        <w:t>-</w:t>
      </w:r>
      <w:r w:rsidR="00353DAC">
        <w:t xml:space="preserve">weighted asset </w:t>
      </w:r>
      <w:r w:rsidR="00DA5AFD">
        <w:t xml:space="preserve">(RWA) </w:t>
      </w:r>
      <w:r w:rsidR="00353DAC">
        <w:t>levels to express it. A liquidity risk capacity is also important and many banks use regulatory stress-based metrics for this purpose such as LCR.</w:t>
      </w:r>
    </w:p>
    <w:p w:rsidR="00A93881" w:rsidRDefault="00353DAC" w:rsidP="00DF5236">
      <w:pPr>
        <w:pStyle w:val="NeAdnumber-level1"/>
      </w:pPr>
      <w:r>
        <w:t xml:space="preserve">Banks need to establish an adequate benchmark or “anchor” when calculating their risk capacity. </w:t>
      </w:r>
      <w:r w:rsidR="00DF5236">
        <w:t xml:space="preserve">While smaller </w:t>
      </w:r>
      <w:r w:rsidR="00094B25">
        <w:t>banks</w:t>
      </w:r>
      <w:r w:rsidR="00DF5236">
        <w:t xml:space="preserve"> might focus on regulatory Pillar 1 capital, </w:t>
      </w:r>
      <w:r w:rsidR="00B669E2">
        <w:t>i</w:t>
      </w:r>
      <w:r>
        <w:t>t m</w:t>
      </w:r>
      <w:r w:rsidR="00D23078">
        <w:t>ay</w:t>
      </w:r>
      <w:r>
        <w:t xml:space="preserve"> be important </w:t>
      </w:r>
      <w:r w:rsidR="00B669E2">
        <w:t xml:space="preserve">for more complex banks </w:t>
      </w:r>
      <w:r>
        <w:t>to take into account ICAAP</w:t>
      </w:r>
      <w:r w:rsidR="00B51789">
        <w:t xml:space="preserve"> (internal)</w:t>
      </w:r>
      <w:r>
        <w:t xml:space="preserve"> </w:t>
      </w:r>
      <w:r w:rsidR="00DF5236">
        <w:t xml:space="preserve">capital </w:t>
      </w:r>
      <w:r w:rsidR="00B51789">
        <w:t>and/or</w:t>
      </w:r>
      <w:r w:rsidR="00DF5236">
        <w:t xml:space="preserve"> supervisory Pillar 2 capital. ICAAP buffers might be considered </w:t>
      </w:r>
      <w:r w:rsidR="00662CCE">
        <w:t xml:space="preserve">either </w:t>
      </w:r>
      <w:r w:rsidR="00DF5236">
        <w:t xml:space="preserve">outside </w:t>
      </w:r>
      <w:r w:rsidR="00535EB5">
        <w:t xml:space="preserve">or within (as part of the RAP buffer) </w:t>
      </w:r>
      <w:r w:rsidR="00DF5236">
        <w:t>the risk appetite perimeter</w:t>
      </w:r>
      <w:r w:rsidR="0025235E">
        <w:t>,</w:t>
      </w:r>
      <w:r w:rsidR="00DF5236">
        <w:t xml:space="preserve"> depending on the way the bank decides to </w:t>
      </w:r>
      <w:r w:rsidR="0025235E">
        <w:t>connect</w:t>
      </w:r>
      <w:r w:rsidR="00DF5236">
        <w:t xml:space="preserve"> its RAF to the ICAAP</w:t>
      </w:r>
      <w:r w:rsidR="00A93881">
        <w:t>.</w:t>
      </w:r>
    </w:p>
    <w:p w:rsidR="00082AE1" w:rsidRDefault="00DF5236" w:rsidP="00DF5236">
      <w:pPr>
        <w:pStyle w:val="NeAdnumber-level1"/>
      </w:pPr>
      <w:r>
        <w:t xml:space="preserve">In any event, </w:t>
      </w:r>
      <w:r w:rsidR="00082AE1">
        <w:t>it is important that banks establish a clear definition of risk capacity in their RAFs that includes a description of the type of capital (Pillar 1 or Pillar 2) that they use as a basis for that definition.</w:t>
      </w:r>
    </w:p>
    <w:p w:rsidR="00082AE1" w:rsidRDefault="00DF5236" w:rsidP="00665F28">
      <w:pPr>
        <w:pStyle w:val="NeAdnumber-level1"/>
      </w:pPr>
      <w:r>
        <w:t xml:space="preserve">The RAS should </w:t>
      </w:r>
      <w:r w:rsidR="002F5A76">
        <w:t>articulate the structure of the RA</w:t>
      </w:r>
      <w:r w:rsidR="00D4403F">
        <w:t>F</w:t>
      </w:r>
      <w:r w:rsidR="001464BB">
        <w:t xml:space="preserve">. </w:t>
      </w:r>
      <w:r w:rsidR="00D265E3">
        <w:t>This</w:t>
      </w:r>
      <w:r w:rsidR="002F5A76">
        <w:t xml:space="preserve"> involve</w:t>
      </w:r>
      <w:r w:rsidR="00D4403F">
        <w:t>s</w:t>
      </w:r>
      <w:r w:rsidR="002F5A76">
        <w:t xml:space="preserve"> </w:t>
      </w:r>
      <w:r w:rsidR="00082AE1">
        <w:t xml:space="preserve">the following </w:t>
      </w:r>
      <w:r w:rsidR="00D265E3">
        <w:t xml:space="preserve">main </w:t>
      </w:r>
      <w:r w:rsidR="00082AE1">
        <w:t>steps</w:t>
      </w:r>
      <w:r w:rsidR="00003FA1">
        <w:t xml:space="preserve"> (</w:t>
      </w:r>
      <w:r w:rsidR="009B2248" w:rsidRPr="000A496E">
        <w:t xml:space="preserve">summarised in graph </w:t>
      </w:r>
      <w:r w:rsidR="003E6AF8">
        <w:t>C</w:t>
      </w:r>
      <w:r w:rsidR="009B2248" w:rsidRPr="000A496E">
        <w:t xml:space="preserve"> below)</w:t>
      </w:r>
      <w:r w:rsidR="00E1566C">
        <w:t>:</w:t>
      </w:r>
    </w:p>
    <w:p w:rsidR="00082AE1" w:rsidRDefault="00365D4E" w:rsidP="00665F28">
      <w:pPr>
        <w:pStyle w:val="NeAdnumber-level2"/>
      </w:pPr>
      <w:r>
        <w:t>Definition</w:t>
      </w:r>
      <w:r w:rsidR="00D4403F">
        <w:t xml:space="preserve"> of </w:t>
      </w:r>
      <w:r w:rsidR="00082AE1">
        <w:t xml:space="preserve">the bank’s </w:t>
      </w:r>
      <w:r w:rsidR="00082AE1" w:rsidRPr="00147C17">
        <w:rPr>
          <w:i/>
        </w:rPr>
        <w:t>risk capacity</w:t>
      </w:r>
      <w:r w:rsidR="00D4403F">
        <w:t xml:space="preserve"> as discussed above</w:t>
      </w:r>
      <w:r w:rsidR="00082AE1">
        <w:t>.</w:t>
      </w:r>
    </w:p>
    <w:p w:rsidR="00381C8A" w:rsidRPr="00381C8A" w:rsidRDefault="00365D4E" w:rsidP="00665F28">
      <w:pPr>
        <w:pStyle w:val="NeAdnumber-level2"/>
      </w:pPr>
      <w:r>
        <w:t>Definition</w:t>
      </w:r>
      <w:r w:rsidR="00D4403F">
        <w:t xml:space="preserve"> of the RAP categories (or “buckets”)</w:t>
      </w:r>
      <w:r>
        <w:t xml:space="preserve"> </w:t>
      </w:r>
      <w:r w:rsidR="00D4403F">
        <w:t xml:space="preserve">and setting of </w:t>
      </w:r>
      <w:r w:rsidR="00082AE1">
        <w:t>high-level</w:t>
      </w:r>
      <w:r w:rsidR="00082AE1" w:rsidRPr="00EF1A09">
        <w:rPr>
          <w:i/>
        </w:rPr>
        <w:t xml:space="preserve"> </w:t>
      </w:r>
      <w:r w:rsidR="00CA651B">
        <w:rPr>
          <w:i/>
        </w:rPr>
        <w:t>RAP</w:t>
      </w:r>
      <w:r w:rsidR="00082AE1" w:rsidRPr="00EF1A09">
        <w:rPr>
          <w:i/>
        </w:rPr>
        <w:t xml:space="preserve"> </w:t>
      </w:r>
      <w:r w:rsidR="00082AE1">
        <w:rPr>
          <w:i/>
        </w:rPr>
        <w:t>thresholds</w:t>
      </w:r>
      <w:r w:rsidR="00082AE1">
        <w:t xml:space="preserve"> </w:t>
      </w:r>
      <w:r w:rsidR="00D4403F">
        <w:t xml:space="preserve">in the RAS </w:t>
      </w:r>
      <w:r w:rsidR="00082AE1">
        <w:t xml:space="preserve">based on </w:t>
      </w:r>
      <w:r>
        <w:t xml:space="preserve">e.g. </w:t>
      </w:r>
      <w:r w:rsidR="00D4403F">
        <w:t>business lines</w:t>
      </w:r>
      <w:r w:rsidR="00082AE1">
        <w:t xml:space="preserve">, legal entities, products. </w:t>
      </w:r>
      <w:r w:rsidR="00D4403F">
        <w:t xml:space="preserve">Depending on risk sensitivities and the </w:t>
      </w:r>
      <w:r w:rsidR="00147C17">
        <w:t xml:space="preserve">allocated </w:t>
      </w:r>
      <w:r w:rsidR="00D4403F">
        <w:t>capital</w:t>
      </w:r>
      <w:r w:rsidR="00082AE1">
        <w:t xml:space="preserve">, </w:t>
      </w:r>
      <w:r w:rsidR="00094B25">
        <w:t>banks</w:t>
      </w:r>
      <w:r w:rsidR="00D4403F">
        <w:t xml:space="preserve"> might </w:t>
      </w:r>
      <w:r w:rsidR="00005BC1">
        <w:t>opt for different degrees of</w:t>
      </w:r>
      <w:r w:rsidR="00D4403F">
        <w:t xml:space="preserve"> granularity at this high level. For </w:t>
      </w:r>
      <w:r w:rsidR="00005BC1">
        <w:t>example,</w:t>
      </w:r>
      <w:r w:rsidR="00082AE1">
        <w:t xml:space="preserve"> </w:t>
      </w:r>
      <w:r w:rsidR="00005BC1">
        <w:t xml:space="preserve">a bank </w:t>
      </w:r>
      <w:r w:rsidR="00082AE1">
        <w:t xml:space="preserve">might define a </w:t>
      </w:r>
      <w:r w:rsidR="00CA651B">
        <w:t>RAP</w:t>
      </w:r>
      <w:r w:rsidR="00D4403F">
        <w:t xml:space="preserve"> threshold</w:t>
      </w:r>
      <w:r w:rsidR="00082AE1">
        <w:t xml:space="preserve"> for corporate lending</w:t>
      </w:r>
      <w:r w:rsidR="00D4403F">
        <w:t xml:space="preserve"> </w:t>
      </w:r>
      <w:r w:rsidR="00005BC1">
        <w:t>to</w:t>
      </w:r>
      <w:r w:rsidR="00D4403F">
        <w:t xml:space="preserve"> specific sectors</w:t>
      </w:r>
      <w:r w:rsidR="00082AE1">
        <w:t xml:space="preserve"> </w:t>
      </w:r>
      <w:r w:rsidR="00D4403F">
        <w:t xml:space="preserve">or focus on certain types of </w:t>
      </w:r>
      <w:r w:rsidR="00082AE1">
        <w:t>retail</w:t>
      </w:r>
      <w:r w:rsidR="00D4403F">
        <w:t xml:space="preserve"> credit risk such as </w:t>
      </w:r>
      <w:r w:rsidR="00005BC1">
        <w:t>mortgages</w:t>
      </w:r>
      <w:r w:rsidR="00D4403F">
        <w:t xml:space="preserve"> or credit card debt. </w:t>
      </w:r>
      <w:r w:rsidR="00CA651B">
        <w:t>RAP</w:t>
      </w:r>
      <w:r w:rsidR="00082AE1" w:rsidRPr="007D0C68">
        <w:t xml:space="preserve"> thresholds</w:t>
      </w:r>
      <w:r w:rsidR="00082AE1" w:rsidRPr="00E92E99">
        <w:rPr>
          <w:i/>
        </w:rPr>
        <w:t xml:space="preserve"> </w:t>
      </w:r>
      <w:r w:rsidR="00A007D4" w:rsidRPr="00A007D4">
        <w:t>can be</w:t>
      </w:r>
      <w:r w:rsidR="003E6AF8" w:rsidRPr="00BA588D">
        <w:rPr>
          <w:i/>
        </w:rPr>
        <w:t xml:space="preserve"> </w:t>
      </w:r>
      <w:r w:rsidR="00082AE1">
        <w:t>defined through RWA</w:t>
      </w:r>
      <w:r w:rsidR="00D4403F">
        <w:t>s</w:t>
      </w:r>
      <w:r w:rsidR="00082AE1">
        <w:t>, expected-losses, asset quality levels, or other indicators</w:t>
      </w:r>
      <w:r w:rsidR="009F5461">
        <w:t>.</w:t>
      </w:r>
      <w:r w:rsidR="009F5461">
        <w:rPr>
          <w:rStyle w:val="Sprotnaopomba-sklic"/>
        </w:rPr>
        <w:footnoteReference w:id="22"/>
      </w:r>
    </w:p>
    <w:p w:rsidR="00082AE1" w:rsidRDefault="00381C8A" w:rsidP="00381C8A">
      <w:pPr>
        <w:pStyle w:val="NeAdnumber-level2"/>
        <w:numPr>
          <w:ilvl w:val="0"/>
          <w:numId w:val="0"/>
        </w:numPr>
        <w:ind w:left="1134"/>
      </w:pPr>
      <w:r w:rsidRPr="00381C8A">
        <w:t xml:space="preserve">Both the RAS definitions and the risk capacity setting </w:t>
      </w:r>
      <w:r w:rsidR="00616E03">
        <w:t>should be the responsibility of the</w:t>
      </w:r>
      <w:r w:rsidRPr="00381C8A">
        <w:t xml:space="preserve"> SB</w:t>
      </w:r>
      <w:r w:rsidR="00616E03">
        <w:t>,</w:t>
      </w:r>
      <w:r w:rsidRPr="00381C8A">
        <w:t xml:space="preserve"> as illustrated </w:t>
      </w:r>
      <w:r w:rsidR="00616E03">
        <w:t xml:space="preserve">in graph </w:t>
      </w:r>
      <w:r w:rsidR="00BA3EAA">
        <w:t>C</w:t>
      </w:r>
      <w:r w:rsidR="00616E03">
        <w:t xml:space="preserve"> below</w:t>
      </w:r>
      <w:r w:rsidRPr="00381C8A">
        <w:t>.</w:t>
      </w:r>
      <w:r w:rsidR="00616E03">
        <w:t xml:space="preserve"> </w:t>
      </w:r>
      <w:r w:rsidRPr="003A1BC2">
        <w:t>Th</w:t>
      </w:r>
      <w:r w:rsidR="00616E03" w:rsidRPr="003A1BC2">
        <w:t>e concepts</w:t>
      </w:r>
      <w:r w:rsidRPr="003A1BC2">
        <w:t xml:space="preserve"> </w:t>
      </w:r>
      <w:r w:rsidR="00AB1B36">
        <w:t xml:space="preserve">above </w:t>
      </w:r>
      <w:r w:rsidR="00616E03" w:rsidRPr="003A1BC2">
        <w:t>are</w:t>
      </w:r>
      <w:r w:rsidRPr="003A1BC2">
        <w:t xml:space="preserve"> further illustrated by graph </w:t>
      </w:r>
      <w:r w:rsidR="00BA3EAA">
        <w:t>D</w:t>
      </w:r>
      <w:r w:rsidRPr="003A1BC2">
        <w:t xml:space="preserve"> </w:t>
      </w:r>
      <w:r w:rsidR="00BA3EAA">
        <w:t xml:space="preserve">(also </w:t>
      </w:r>
      <w:r w:rsidRPr="003A1BC2">
        <w:t>below</w:t>
      </w:r>
      <w:r w:rsidR="00BA3EAA">
        <w:t>)</w:t>
      </w:r>
      <w:r w:rsidRPr="003A1BC2">
        <w:t>.</w:t>
      </w:r>
    </w:p>
    <w:p w:rsidR="00082AE1" w:rsidRDefault="00D4403F" w:rsidP="00082AE1">
      <w:pPr>
        <w:pStyle w:val="NeAdnumber-level2"/>
      </w:pPr>
      <w:r>
        <w:t>Following the adoption of the RAS by the SB,</w:t>
      </w:r>
      <w:r w:rsidR="00082AE1">
        <w:t xml:space="preserve"> </w:t>
      </w:r>
      <w:r w:rsidR="00CA651B">
        <w:t>RAP</w:t>
      </w:r>
      <w:r w:rsidR="00082AE1">
        <w:t xml:space="preserve"> thresholds are then translated into more granular</w:t>
      </w:r>
      <w:r w:rsidR="00082AE1">
        <w:rPr>
          <w:i/>
        </w:rPr>
        <w:t xml:space="preserve"> </w:t>
      </w:r>
      <w:r w:rsidR="00CA651B">
        <w:t>RAP</w:t>
      </w:r>
      <w:r w:rsidR="00082AE1" w:rsidRPr="00761456">
        <w:t xml:space="preserve"> limits </w:t>
      </w:r>
      <w:r w:rsidR="00082AE1">
        <w:t>(“operationalised”</w:t>
      </w:r>
      <w:r w:rsidR="00C6230A">
        <w:t xml:space="preserve"> or “cascaded”</w:t>
      </w:r>
      <w:r w:rsidR="00082AE1">
        <w:t xml:space="preserve">) to be used in daily management of each of the business lines. This </w:t>
      </w:r>
      <w:r w:rsidR="00CA651B">
        <w:t>RAP</w:t>
      </w:r>
      <w:r w:rsidR="00082AE1">
        <w:t xml:space="preserve"> limit system should be periodically reviewed and tested.</w:t>
      </w:r>
      <w:r w:rsidR="004278BE">
        <w:t xml:space="preserve"> Management </w:t>
      </w:r>
      <w:r w:rsidR="00B11BA5">
        <w:t>(</w:t>
      </w:r>
      <w:r w:rsidR="004278BE">
        <w:t>either at MgmtB le</w:t>
      </w:r>
      <w:r w:rsidR="00C371E5">
        <w:t>vel</w:t>
      </w:r>
      <w:r w:rsidR="004278BE">
        <w:t xml:space="preserve"> or at the </w:t>
      </w:r>
      <w:r w:rsidR="00B11BA5">
        <w:t xml:space="preserve">level of the </w:t>
      </w:r>
      <w:r w:rsidR="004278BE">
        <w:t>management risk committee</w:t>
      </w:r>
      <w:r w:rsidR="00B11BA5">
        <w:t>)</w:t>
      </w:r>
      <w:r w:rsidR="004278BE">
        <w:t xml:space="preserve"> </w:t>
      </w:r>
      <w:r w:rsidR="00B11BA5">
        <w:t>“owns”</w:t>
      </w:r>
      <w:r w:rsidR="004278BE">
        <w:t xml:space="preserve"> this cascade</w:t>
      </w:r>
      <w:r w:rsidR="001A5E8E">
        <w:t xml:space="preserve"> and reports to the SB on a regular basis.</w:t>
      </w:r>
    </w:p>
    <w:p w:rsidR="004278BE" w:rsidRDefault="004278BE" w:rsidP="0070441F">
      <w:pPr>
        <w:pStyle w:val="NeAdnumber-level2"/>
      </w:pPr>
      <w:r>
        <w:t xml:space="preserve">The implementation of the various </w:t>
      </w:r>
      <w:r w:rsidR="00194959">
        <w:t xml:space="preserve">RAP </w:t>
      </w:r>
      <w:r w:rsidR="001A4D51">
        <w:t>l</w:t>
      </w:r>
      <w:r>
        <w:t>imits and threshold</w:t>
      </w:r>
      <w:r w:rsidR="003E6AF8">
        <w:t>s</w:t>
      </w:r>
      <w:r>
        <w:t xml:space="preserve"> results </w:t>
      </w:r>
      <w:r w:rsidR="00194959">
        <w:t>in</w:t>
      </w:r>
      <w:r>
        <w:t xml:space="preserve"> a specific risk profile for the bank at any point in time. </w:t>
      </w:r>
      <w:r w:rsidR="00B11BA5">
        <w:t>Information</w:t>
      </w:r>
      <w:r w:rsidR="0080633E">
        <w:t xml:space="preserve"> on the </w:t>
      </w:r>
      <w:r w:rsidR="00194959">
        <w:t xml:space="preserve">risk </w:t>
      </w:r>
      <w:r w:rsidR="0080633E">
        <w:t>profile is reported to the various</w:t>
      </w:r>
      <w:r w:rsidR="00194959">
        <w:t xml:space="preserve"> institutions and levels within the organisation</w:t>
      </w:r>
      <w:r w:rsidR="0080633E">
        <w:t xml:space="preserve"> that “own” and set </w:t>
      </w:r>
      <w:r w:rsidR="00BA588D">
        <w:t>the relevant limits and thresholds</w:t>
      </w:r>
      <w:r w:rsidR="0080633E">
        <w:t xml:space="preserve">. The </w:t>
      </w:r>
      <w:r w:rsidR="00817A8D">
        <w:t>SB</w:t>
      </w:r>
      <w:r w:rsidR="0080633E">
        <w:t xml:space="preserve"> receives information through </w:t>
      </w:r>
      <w:r w:rsidR="00ED1186">
        <w:t>the</w:t>
      </w:r>
      <w:r w:rsidR="0080633E">
        <w:t xml:space="preserve"> dashboard on the high-level RAS </w:t>
      </w:r>
      <w:r w:rsidR="00695114">
        <w:t>categories (“</w:t>
      </w:r>
      <w:r w:rsidR="00056A79">
        <w:t>buckets</w:t>
      </w:r>
      <w:r w:rsidR="00695114">
        <w:t>”)</w:t>
      </w:r>
      <w:r w:rsidR="0080633E">
        <w:t>.</w:t>
      </w:r>
    </w:p>
    <w:p w:rsidR="002423E0" w:rsidRDefault="004278BE" w:rsidP="0070441F">
      <w:pPr>
        <w:pStyle w:val="NeAdnumber-level1"/>
      </w:pPr>
      <w:r>
        <w:t xml:space="preserve">Setting the risk capacity, the RAS </w:t>
      </w:r>
      <w:r w:rsidR="00695114">
        <w:t>category</w:t>
      </w:r>
      <w:r>
        <w:t xml:space="preserve"> levels as well as the </w:t>
      </w:r>
      <w:r w:rsidR="00003FA1">
        <w:t>RA</w:t>
      </w:r>
      <w:r>
        <w:t>F’s</w:t>
      </w:r>
      <w:r w:rsidR="00082AE1">
        <w:t xml:space="preserve"> system of </w:t>
      </w:r>
      <w:r>
        <w:t>thresholds and</w:t>
      </w:r>
      <w:r w:rsidR="00082AE1">
        <w:t xml:space="preserve"> limits relies on</w:t>
      </w:r>
      <w:r w:rsidR="00082AE1" w:rsidRPr="00BA5954">
        <w:rPr>
          <w:i/>
        </w:rPr>
        <w:t xml:space="preserve"> stress testing</w:t>
      </w:r>
      <w:r w:rsidR="00082AE1">
        <w:t xml:space="preserve"> at </w:t>
      </w:r>
      <w:r w:rsidR="00082AE1" w:rsidRPr="00581F3B">
        <w:t xml:space="preserve">the institution-wide level </w:t>
      </w:r>
      <w:r>
        <w:t>but also at lower levels as required</w:t>
      </w:r>
      <w:r w:rsidR="005707E8">
        <w:t>.</w:t>
      </w:r>
      <w:r w:rsidR="00082AE1">
        <w:rPr>
          <w:rStyle w:val="Sprotnaopomba-sklic"/>
        </w:rPr>
        <w:footnoteReference w:id="23"/>
      </w:r>
      <w:r w:rsidR="00082AE1">
        <w:t xml:space="preserve"> </w:t>
      </w:r>
      <w:r w:rsidR="009C336B">
        <w:t xml:space="preserve">It is worth noting that </w:t>
      </w:r>
      <w:r w:rsidR="003A2152">
        <w:t xml:space="preserve">banks </w:t>
      </w:r>
      <w:r w:rsidR="009C336B">
        <w:t xml:space="preserve">can, and where possible should, combine stress testing for ICAAP/ILAAP purposes as well as scenario planning for recovery purposes with </w:t>
      </w:r>
      <w:r w:rsidR="009079A8" w:rsidRPr="00E162DA">
        <w:rPr>
          <w:noProof/>
          <w:lang w:val="sl-SI" w:eastAsia="sl-SI"/>
        </w:rPr>
        <w:drawing>
          <wp:anchor distT="0" distB="0" distL="114300" distR="114300" simplePos="0" relativeHeight="251656192" behindDoc="0" locked="0" layoutInCell="1" allowOverlap="1" wp14:anchorId="0F1B2A34" wp14:editId="4A0BD550">
            <wp:simplePos x="0" y="0"/>
            <wp:positionH relativeFrom="page">
              <wp:posOffset>333375</wp:posOffset>
            </wp:positionH>
            <wp:positionV relativeFrom="paragraph">
              <wp:posOffset>594360</wp:posOffset>
            </wp:positionV>
            <wp:extent cx="6899910" cy="41027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899910" cy="4102735"/>
                    </a:xfrm>
                    <a:prstGeom prst="rect">
                      <a:avLst/>
                    </a:prstGeom>
                    <a:noFill/>
                  </pic:spPr>
                </pic:pic>
              </a:graphicData>
            </a:graphic>
            <wp14:sizeRelH relativeFrom="margin">
              <wp14:pctWidth>0</wp14:pctWidth>
            </wp14:sizeRelH>
            <wp14:sizeRelV relativeFrom="margin">
              <wp14:pctHeight>0</wp14:pctHeight>
            </wp14:sizeRelV>
          </wp:anchor>
        </w:drawing>
      </w:r>
      <w:r w:rsidR="009C336B">
        <w:t>stressing required for RAF purposes.</w:t>
      </w:r>
    </w:p>
    <w:p w:rsidR="00910387" w:rsidRDefault="005C2FDD" w:rsidP="00665F28">
      <w:pPr>
        <w:pStyle w:val="NeAdnumber-level1"/>
        <w:numPr>
          <w:ilvl w:val="0"/>
          <w:numId w:val="0"/>
        </w:numPr>
      </w:pPr>
      <w:r w:rsidRPr="00E162DA">
        <w:rPr>
          <w:noProof/>
          <w:lang w:val="sl-SI" w:eastAsia="sl-SI"/>
        </w:rPr>
        <w:drawing>
          <wp:anchor distT="0" distB="0" distL="114300" distR="114300" simplePos="0" relativeHeight="251658240" behindDoc="0" locked="0" layoutInCell="1" allowOverlap="1" wp14:anchorId="0D8F50F9" wp14:editId="4D41B753">
            <wp:simplePos x="0" y="0"/>
            <wp:positionH relativeFrom="page">
              <wp:posOffset>317334</wp:posOffset>
            </wp:positionH>
            <wp:positionV relativeFrom="paragraph">
              <wp:posOffset>4378298</wp:posOffset>
            </wp:positionV>
            <wp:extent cx="6804660" cy="38639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804660" cy="3863975"/>
                    </a:xfrm>
                    <a:prstGeom prst="rect">
                      <a:avLst/>
                    </a:prstGeom>
                    <a:noFill/>
                  </pic:spPr>
                </pic:pic>
              </a:graphicData>
            </a:graphic>
            <wp14:sizeRelH relativeFrom="margin">
              <wp14:pctWidth>0</wp14:pctWidth>
            </wp14:sizeRelH>
            <wp14:sizeRelV relativeFrom="margin">
              <wp14:pctHeight>0</wp14:pctHeight>
            </wp14:sizeRelV>
          </wp:anchor>
        </w:drawing>
      </w:r>
    </w:p>
    <w:p w:rsidR="006D2F4F" w:rsidRDefault="006D2F4F" w:rsidP="006D2F4F">
      <w:pPr>
        <w:pStyle w:val="NeAdH3"/>
      </w:pPr>
      <w:bookmarkStart w:id="25" w:name="_Toc510622698"/>
      <w:r w:rsidRPr="006D2F4F">
        <w:t>Risk Categories and Comprehensiveness of the RAF</w:t>
      </w:r>
      <w:bookmarkEnd w:id="25"/>
    </w:p>
    <w:p w:rsidR="009F5DD1" w:rsidRDefault="00406908" w:rsidP="00B06D27">
      <w:pPr>
        <w:pStyle w:val="NeAdH42"/>
      </w:pPr>
      <w:r>
        <w:t>Guidelines</w:t>
      </w:r>
    </w:p>
    <w:tbl>
      <w:tblPr>
        <w:tblStyle w:val="Tabelamrea"/>
        <w:tblW w:w="0" w:type="auto"/>
        <w:tblInd w:w="-147" w:type="dxa"/>
        <w:tblLook w:val="04A0" w:firstRow="1" w:lastRow="0" w:firstColumn="1" w:lastColumn="0" w:noHBand="0" w:noVBand="1"/>
      </w:tblPr>
      <w:tblGrid>
        <w:gridCol w:w="8642"/>
      </w:tblGrid>
      <w:tr w:rsidR="00B828A9" w:rsidTr="00250A41">
        <w:trPr>
          <w:trHeight w:val="1809"/>
        </w:trPr>
        <w:tc>
          <w:tcPr>
            <w:tcW w:w="8642" w:type="dxa"/>
            <w:shd w:val="clear" w:color="auto" w:fill="B4C6E7" w:themeFill="accent1" w:themeFillTint="66"/>
          </w:tcPr>
          <w:p w:rsidR="00070FBC" w:rsidRDefault="009C336B" w:rsidP="00672877">
            <w:pPr>
              <w:pStyle w:val="NeAdnumber-level1"/>
              <w:numPr>
                <w:ilvl w:val="0"/>
                <w:numId w:val="0"/>
              </w:numPr>
              <w:rPr>
                <w:i/>
              </w:rPr>
            </w:pPr>
            <w:r w:rsidRPr="0088681F">
              <w:rPr>
                <w:i/>
              </w:rPr>
              <w:t>1</w:t>
            </w:r>
            <w:r w:rsidR="00A42957">
              <w:rPr>
                <w:i/>
              </w:rPr>
              <w:t>5</w:t>
            </w:r>
            <w:r w:rsidRPr="0088681F">
              <w:rPr>
                <w:i/>
              </w:rPr>
              <w:t xml:space="preserve">. </w:t>
            </w:r>
            <w:r w:rsidR="007F69F2">
              <w:rPr>
                <w:i/>
              </w:rPr>
              <w:t>The b</w:t>
            </w:r>
            <w:r w:rsidR="00B828A9" w:rsidRPr="0088681F">
              <w:rPr>
                <w:i/>
              </w:rPr>
              <w:t>ank need</w:t>
            </w:r>
            <w:r w:rsidR="0010796C">
              <w:rPr>
                <w:i/>
              </w:rPr>
              <w:t>s</w:t>
            </w:r>
            <w:r w:rsidR="00B828A9" w:rsidRPr="0088681F">
              <w:rPr>
                <w:i/>
              </w:rPr>
              <w:t xml:space="preserve"> to ensure the RAS is comprehensive in scope and captures all material financial and non-financial risks that the bank is exposed to through the full range of its activities and business lines. </w:t>
            </w:r>
          </w:p>
          <w:p w:rsidR="00B828A9" w:rsidRPr="000D691B" w:rsidRDefault="009C336B" w:rsidP="00070FBC">
            <w:pPr>
              <w:pStyle w:val="NeAdnumber-level1"/>
              <w:numPr>
                <w:ilvl w:val="0"/>
                <w:numId w:val="0"/>
              </w:numPr>
              <w:rPr>
                <w:i/>
              </w:rPr>
            </w:pPr>
            <w:r w:rsidRPr="0088681F">
              <w:rPr>
                <w:i/>
              </w:rPr>
              <w:t>1</w:t>
            </w:r>
            <w:r w:rsidR="00A42957">
              <w:rPr>
                <w:i/>
              </w:rPr>
              <w:t>6</w:t>
            </w:r>
            <w:r w:rsidRPr="0088681F">
              <w:rPr>
                <w:i/>
              </w:rPr>
              <w:t xml:space="preserve">. </w:t>
            </w:r>
            <w:r w:rsidR="00B828A9" w:rsidRPr="0088681F">
              <w:rPr>
                <w:i/>
              </w:rPr>
              <w:t>In</w:t>
            </w:r>
            <w:r w:rsidR="00672877" w:rsidRPr="0088681F">
              <w:rPr>
                <w:i/>
              </w:rPr>
              <w:t xml:space="preserve"> order to achieve comprehensiveness, </w:t>
            </w:r>
            <w:r w:rsidR="007F69F2">
              <w:rPr>
                <w:i/>
              </w:rPr>
              <w:t xml:space="preserve">the </w:t>
            </w:r>
            <w:r w:rsidR="00672877" w:rsidRPr="0088681F">
              <w:rPr>
                <w:i/>
              </w:rPr>
              <w:t>bank should complement the ICAAP/ILAAP risk identification and measurement exercise with an additional to</w:t>
            </w:r>
            <w:r w:rsidR="00070FBC">
              <w:rPr>
                <w:i/>
              </w:rPr>
              <w:t>o</w:t>
            </w:r>
            <w:r w:rsidR="00672877" w:rsidRPr="0088681F">
              <w:rPr>
                <w:i/>
              </w:rPr>
              <w:t>lkit of RAF related metrics</w:t>
            </w:r>
            <w:r w:rsidR="00070FBC">
              <w:rPr>
                <w:i/>
              </w:rPr>
              <w:t>.</w:t>
            </w:r>
            <w:r w:rsidR="00672877" w:rsidRPr="0088681F">
              <w:rPr>
                <w:i/>
              </w:rPr>
              <w:t xml:space="preserve"> </w:t>
            </w:r>
          </w:p>
        </w:tc>
      </w:tr>
    </w:tbl>
    <w:p w:rsidR="00B06D27" w:rsidRDefault="00406908" w:rsidP="00B06D27">
      <w:pPr>
        <w:pStyle w:val="NeAdH42"/>
      </w:pPr>
      <w:r>
        <w:t>Discussion</w:t>
      </w:r>
    </w:p>
    <w:p w:rsidR="009A4A59" w:rsidRDefault="00882832" w:rsidP="008F590C">
      <w:pPr>
        <w:pStyle w:val="NeAdnumber-level1"/>
      </w:pPr>
      <w:r>
        <w:t>A</w:t>
      </w:r>
      <w:r w:rsidR="009A4A59">
        <w:t xml:space="preserve"> well-developed RAF should be comprehensive in scope and cover all material risks to the specific bank.</w:t>
      </w:r>
      <w:r>
        <w:t xml:space="preserve"> </w:t>
      </w:r>
      <w:r w:rsidR="008717E9">
        <w:t xml:space="preserve">As discussed above, the bank will have gone through an extensive risk identification/mapping exercise in the key risk areas of the Basel </w:t>
      </w:r>
      <w:r w:rsidR="00821489">
        <w:t xml:space="preserve">“risk </w:t>
      </w:r>
      <w:r w:rsidR="008717E9">
        <w:t>canon”. This exercise is very relevant to the development of the RAS but it is not sufficient. Many business areas will require specific metrics in order to effectively limit the amount of risk that is assumed or tolerated</w:t>
      </w:r>
      <w:r w:rsidR="00821489">
        <w:t xml:space="preserve"> by the bank</w:t>
      </w:r>
      <w:r w:rsidR="008717E9">
        <w:t xml:space="preserve"> in the RAP context.</w:t>
      </w:r>
    </w:p>
    <w:p w:rsidR="00B154BD" w:rsidRDefault="008717E9" w:rsidP="00B154BD">
      <w:pPr>
        <w:pStyle w:val="NeAdnumber-level1"/>
      </w:pPr>
      <w:r>
        <w:t>In view of this tw</w:t>
      </w:r>
      <w:r w:rsidR="000E6665">
        <w:t>o</w:t>
      </w:r>
      <w:r>
        <w:t>-pronged approach</w:t>
      </w:r>
      <w:r w:rsidR="009A4A59">
        <w:t>, the RAF can be conceived as a matrix that, on the one hand, accounts for the bank’s material risk categories identified as part of ICAAP, and, on the other, links</w:t>
      </w:r>
      <w:r>
        <w:t xml:space="preserve"> risk</w:t>
      </w:r>
      <w:r w:rsidR="009A4A59">
        <w:t xml:space="preserve"> to the bank’s business plan</w:t>
      </w:r>
      <w:r>
        <w:t xml:space="preserve"> and budget</w:t>
      </w:r>
      <w:r w:rsidR="009A4A59">
        <w:t xml:space="preserve"> </w:t>
      </w:r>
      <w:r>
        <w:t>for different business areas and activities</w:t>
      </w:r>
      <w:r w:rsidR="00241BF5">
        <w:t>. An example of such a matrix is shown in</w:t>
      </w:r>
      <w:r>
        <w:t xml:space="preserve"> </w:t>
      </w:r>
      <w:r w:rsidRPr="00FF731E">
        <w:t xml:space="preserve">graph </w:t>
      </w:r>
      <w:r w:rsidR="00C50DC1">
        <w:t>E</w:t>
      </w:r>
      <w:r w:rsidR="00FF731E" w:rsidRPr="00FF731E">
        <w:t xml:space="preserve"> below</w:t>
      </w:r>
      <w:r w:rsidR="009D04D8">
        <w:t>.</w:t>
      </w:r>
    </w:p>
    <w:p w:rsidR="00B154BD" w:rsidRDefault="00424ED2" w:rsidP="00B154BD">
      <w:pPr>
        <w:pStyle w:val="NeAdnumber-level1"/>
        <w:numPr>
          <w:ilvl w:val="0"/>
          <w:numId w:val="0"/>
        </w:numPr>
        <w:ind w:left="567"/>
      </w:pPr>
      <w:r w:rsidRPr="00E162DA">
        <w:rPr>
          <w:noProof/>
          <w:lang w:val="sl-SI" w:eastAsia="sl-SI"/>
        </w:rPr>
        <w:drawing>
          <wp:anchor distT="0" distB="0" distL="114300" distR="114300" simplePos="0" relativeHeight="251660288" behindDoc="0" locked="0" layoutInCell="1" allowOverlap="1" wp14:anchorId="3C8B2857" wp14:editId="4197551E">
            <wp:simplePos x="0" y="0"/>
            <wp:positionH relativeFrom="page">
              <wp:posOffset>215265</wp:posOffset>
            </wp:positionH>
            <wp:positionV relativeFrom="paragraph">
              <wp:posOffset>0</wp:posOffset>
            </wp:positionV>
            <wp:extent cx="7276465" cy="5509895"/>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7276465" cy="5509895"/>
                    </a:xfrm>
                    <a:prstGeom prst="rect">
                      <a:avLst/>
                    </a:prstGeom>
                    <a:noFill/>
                  </pic:spPr>
                </pic:pic>
              </a:graphicData>
            </a:graphic>
            <wp14:sizeRelH relativeFrom="page">
              <wp14:pctWidth>0</wp14:pctWidth>
            </wp14:sizeRelH>
            <wp14:sizeRelV relativeFrom="page">
              <wp14:pctHeight>0</wp14:pctHeight>
            </wp14:sizeRelV>
          </wp:anchor>
        </w:drawing>
      </w:r>
    </w:p>
    <w:p w:rsidR="000B4051" w:rsidRPr="007450F1" w:rsidRDefault="009D04D8" w:rsidP="000B4051">
      <w:pPr>
        <w:pStyle w:val="NeAdnumber-level1"/>
      </w:pPr>
      <w:r>
        <w:t>Banks often find it challenging to</w:t>
      </w:r>
      <w:r w:rsidR="009A4A59">
        <w:t xml:space="preserve"> captur</w:t>
      </w:r>
      <w:r>
        <w:t>e</w:t>
      </w:r>
      <w:r w:rsidR="009A4A59">
        <w:t xml:space="preserve"> material non-financial risks such as compliance, reputational, legal, and conduct risks</w:t>
      </w:r>
      <w:r>
        <w:t>.</w:t>
      </w:r>
      <w:r w:rsidR="009A4A59">
        <w:t xml:space="preserve"> </w:t>
      </w:r>
      <w:r w:rsidR="00D1568F">
        <w:t>I</w:t>
      </w:r>
      <w:r w:rsidR="009A4A59">
        <w:t xml:space="preserve">t may </w:t>
      </w:r>
      <w:r w:rsidR="00957A71">
        <w:t xml:space="preserve">indeed </w:t>
      </w:r>
      <w:r w:rsidR="009A4A59">
        <w:t xml:space="preserve">be </w:t>
      </w:r>
      <w:r w:rsidR="00957A71">
        <w:t xml:space="preserve">a </w:t>
      </w:r>
      <w:r w:rsidR="009A4A59">
        <w:t>challen</w:t>
      </w:r>
      <w:r w:rsidR="00957A71">
        <w:t>ge</w:t>
      </w:r>
      <w:r w:rsidR="009A4A59">
        <w:t xml:space="preserve"> to quantify these risks, </w:t>
      </w:r>
      <w:r w:rsidR="00D1568F">
        <w:t xml:space="preserve">so </w:t>
      </w:r>
      <w:r w:rsidR="009A4A59">
        <w:t xml:space="preserve">the </w:t>
      </w:r>
      <w:r w:rsidR="009A4A59" w:rsidRPr="00E25C6D">
        <w:t>ECB</w:t>
      </w:r>
      <w:r w:rsidR="009A4A59">
        <w:rPr>
          <w:rStyle w:val="Sprotnaopomba-sklic"/>
        </w:rPr>
        <w:footnoteReference w:id="24"/>
      </w:r>
      <w:r w:rsidR="009A4A59" w:rsidRPr="00E25C6D">
        <w:t xml:space="preserve"> </w:t>
      </w:r>
      <w:r w:rsidR="009A4A59">
        <w:t>and the FSB</w:t>
      </w:r>
      <w:r w:rsidR="009A4A59">
        <w:rPr>
          <w:rStyle w:val="Sprotnaopomba-sklic"/>
        </w:rPr>
        <w:footnoteReference w:id="25"/>
      </w:r>
      <w:r w:rsidR="009A4A59">
        <w:t xml:space="preserve"> </w:t>
      </w:r>
      <w:r w:rsidR="00D1568F">
        <w:t>accept tha</w:t>
      </w:r>
      <w:r w:rsidR="00957A71">
        <w:t>t</w:t>
      </w:r>
      <w:r w:rsidR="009A4A59">
        <w:t xml:space="preserve"> </w:t>
      </w:r>
      <w:r w:rsidR="009A4A59" w:rsidRPr="00E25C6D">
        <w:t>banks</w:t>
      </w:r>
      <w:r w:rsidR="009A4A59">
        <w:t xml:space="preserve"> </w:t>
      </w:r>
      <w:r w:rsidR="00241BF5">
        <w:t xml:space="preserve">may </w:t>
      </w:r>
      <w:r w:rsidR="00D1568F">
        <w:t>address</w:t>
      </w:r>
      <w:r w:rsidR="009A4A59">
        <w:t xml:space="preserve"> non-financial risks </w:t>
      </w:r>
      <w:r w:rsidR="009A4A59" w:rsidRPr="000A5B0D">
        <w:t>in their RAFs</w:t>
      </w:r>
      <w:r w:rsidR="009A4A59" w:rsidRPr="00411562">
        <w:rPr>
          <w:rFonts w:ascii="Times New Roman" w:hAnsi="Times New Roman" w:cs="Times New Roman"/>
          <w:sz w:val="24"/>
          <w:szCs w:val="24"/>
        </w:rPr>
        <w:t xml:space="preserve"> </w:t>
      </w:r>
      <w:r w:rsidR="009A4A59" w:rsidRPr="00411562">
        <w:t>in a qualitative way</w:t>
      </w:r>
      <w:r w:rsidR="004B207E">
        <w:t xml:space="preserve"> - </w:t>
      </w:r>
      <w:r w:rsidR="000B4051" w:rsidRPr="003263CD">
        <w:t>as long as the qualitative statements are specific enough.</w:t>
      </w:r>
    </w:p>
    <w:p w:rsidR="00AE00BD" w:rsidRDefault="00AE00BD" w:rsidP="00AE00BD">
      <w:pPr>
        <w:pStyle w:val="NeAdnumber-level1"/>
      </w:pPr>
      <w:r>
        <w:t xml:space="preserve">While quantifying </w:t>
      </w:r>
      <w:r w:rsidR="002E7C68">
        <w:t xml:space="preserve">operational risk </w:t>
      </w:r>
      <w:r>
        <w:t xml:space="preserve">can prove challenging, </w:t>
      </w:r>
      <w:r w:rsidR="00D1568F">
        <w:t xml:space="preserve">there are ways that more complex </w:t>
      </w:r>
      <w:r>
        <w:t>banks can establish</w:t>
      </w:r>
      <w:r w:rsidR="00D1568F">
        <w:t xml:space="preserve"> “proxy approaches” that would allow them to quantify their operational risk tolerances. </w:t>
      </w:r>
      <w:r w:rsidR="00815DE7">
        <w:t xml:space="preserve">First and </w:t>
      </w:r>
      <w:r w:rsidR="003D08DE">
        <w:t>foremost,</w:t>
      </w:r>
      <w:r w:rsidR="00815DE7">
        <w:t xml:space="preserve"> these would</w:t>
      </w:r>
      <w:r w:rsidR="00D1568F">
        <w:t xml:space="preserve"> include</w:t>
      </w:r>
      <w:r>
        <w:t xml:space="preserve"> a methodology for tracking </w:t>
      </w:r>
      <w:r w:rsidR="00241BF5">
        <w:t xml:space="preserve">historic </w:t>
      </w:r>
      <w:r>
        <w:t xml:space="preserve">losses associated with </w:t>
      </w:r>
      <w:r w:rsidR="00815DE7">
        <w:t>different types of operational risk.</w:t>
      </w:r>
      <w:r w:rsidR="002E7C68">
        <w:t xml:space="preserve"> </w:t>
      </w:r>
      <w:r>
        <w:t xml:space="preserve">Banks </w:t>
      </w:r>
      <w:r w:rsidR="00815DE7">
        <w:t>can</w:t>
      </w:r>
      <w:r>
        <w:t xml:space="preserve"> also track “near misses”, i.e. risk events that did not lead to actual </w:t>
      </w:r>
      <w:r w:rsidR="00815DE7">
        <w:t>losses</w:t>
      </w:r>
      <w:r>
        <w:t xml:space="preserve"> but came close to doing so. Based on these past experiences, banks can then establish certain maximum loss amounts that they are willing to accept in the course of their business. </w:t>
      </w:r>
      <w:r w:rsidR="00241BF5">
        <w:t>Insurance may also be used to cap these losses.</w:t>
      </w:r>
    </w:p>
    <w:p w:rsidR="00921F39" w:rsidRDefault="003263CD" w:rsidP="001E7488">
      <w:pPr>
        <w:pStyle w:val="NeAdnumber-level1"/>
      </w:pPr>
      <w:r w:rsidRPr="003263CD">
        <w:t xml:space="preserve">Similar </w:t>
      </w:r>
      <w:r w:rsidR="00815DE7">
        <w:t>approaches c</w:t>
      </w:r>
      <w:r w:rsidRPr="003263CD">
        <w:t xml:space="preserve">ould be </w:t>
      </w:r>
      <w:r w:rsidR="00815DE7">
        <w:t>employed</w:t>
      </w:r>
      <w:r w:rsidRPr="003263CD">
        <w:t xml:space="preserve"> for other types of non-financial risk, such as reputational risk. </w:t>
      </w:r>
      <w:r w:rsidR="00815DE7">
        <w:t xml:space="preserve">The nature of </w:t>
      </w:r>
      <w:r w:rsidR="003A5F7F">
        <w:t>reputational</w:t>
      </w:r>
      <w:r w:rsidR="00815DE7">
        <w:t xml:space="preserve"> risk</w:t>
      </w:r>
      <w:r w:rsidR="003A5F7F">
        <w:rPr>
          <w:rStyle w:val="Sprotnaopomba-sklic"/>
        </w:rPr>
        <w:footnoteReference w:id="26"/>
      </w:r>
      <w:r w:rsidR="00815DE7">
        <w:t xml:space="preserve"> as a secondary (or second-impact) risk </w:t>
      </w:r>
      <w:r w:rsidRPr="003263CD">
        <w:t xml:space="preserve">can </w:t>
      </w:r>
      <w:r w:rsidR="00815DE7">
        <w:t>render</w:t>
      </w:r>
      <w:r w:rsidRPr="003263CD">
        <w:t xml:space="preserve"> difficult </w:t>
      </w:r>
      <w:r w:rsidR="00815DE7">
        <w:t xml:space="preserve">its </w:t>
      </w:r>
      <w:r w:rsidR="007D45C9">
        <w:t>inclusion</w:t>
      </w:r>
      <w:r w:rsidR="007D45C9" w:rsidRPr="003263CD">
        <w:t xml:space="preserve"> in</w:t>
      </w:r>
      <w:r w:rsidRPr="003263CD">
        <w:t xml:space="preserve"> the RAF in </w:t>
      </w:r>
      <w:r w:rsidR="00815DE7">
        <w:t>a</w:t>
      </w:r>
      <w:r w:rsidRPr="003263CD">
        <w:t xml:space="preserve"> quantitative way.</w:t>
      </w:r>
    </w:p>
    <w:tbl>
      <w:tblPr>
        <w:tblStyle w:val="Tabelamrea"/>
        <w:tblW w:w="0" w:type="auto"/>
        <w:tblInd w:w="-147" w:type="dxa"/>
        <w:tblLook w:val="04A0" w:firstRow="1" w:lastRow="0" w:firstColumn="1" w:lastColumn="0" w:noHBand="0" w:noVBand="1"/>
      </w:tblPr>
      <w:tblGrid>
        <w:gridCol w:w="8642"/>
      </w:tblGrid>
      <w:tr w:rsidR="000D5246" w:rsidTr="0076766E">
        <w:trPr>
          <w:trHeight w:val="1809"/>
        </w:trPr>
        <w:tc>
          <w:tcPr>
            <w:tcW w:w="8642" w:type="dxa"/>
            <w:shd w:val="clear" w:color="auto" w:fill="F7CAAC" w:themeFill="accent2" w:themeFillTint="66"/>
          </w:tcPr>
          <w:p w:rsidR="000D5246" w:rsidRPr="00530820" w:rsidRDefault="000D5246" w:rsidP="0076766E">
            <w:pPr>
              <w:pStyle w:val="NeAdnumber-level1"/>
              <w:keepNext/>
              <w:numPr>
                <w:ilvl w:val="0"/>
                <w:numId w:val="0"/>
              </w:numPr>
              <w:rPr>
                <w:b/>
              </w:rPr>
            </w:pPr>
            <w:r w:rsidRPr="00530820">
              <w:rPr>
                <w:b/>
              </w:rPr>
              <w:t>Case Box 4</w:t>
            </w:r>
          </w:p>
          <w:p w:rsidR="000D5246" w:rsidRDefault="000D5246" w:rsidP="0076766E">
            <w:pPr>
              <w:pStyle w:val="NeAdnumber-level1"/>
              <w:keepNext/>
              <w:numPr>
                <w:ilvl w:val="0"/>
                <w:numId w:val="0"/>
              </w:numPr>
              <w:rPr>
                <w:i/>
              </w:rPr>
            </w:pPr>
            <w:r>
              <w:rPr>
                <w:i/>
              </w:rPr>
              <w:t>Bank D</w:t>
            </w:r>
            <w:r w:rsidRPr="00B3554F">
              <w:rPr>
                <w:rFonts w:ascii="Times New Roman" w:hAnsi="Times New Roman" w:cs="Times New Roman"/>
                <w:sz w:val="24"/>
                <w:szCs w:val="24"/>
              </w:rPr>
              <w:t xml:space="preserve"> </w:t>
            </w:r>
            <w:r w:rsidRPr="00B3554F">
              <w:rPr>
                <w:i/>
              </w:rPr>
              <w:t>establish</w:t>
            </w:r>
            <w:r>
              <w:rPr>
                <w:i/>
              </w:rPr>
              <w:t>ed</w:t>
            </w:r>
            <w:r w:rsidRPr="00B3554F">
              <w:rPr>
                <w:i/>
              </w:rPr>
              <w:t xml:space="preserve"> the following limit in its RAF: we will not tolerate</w:t>
            </w:r>
            <w:r w:rsidR="0089005B">
              <w:rPr>
                <w:i/>
              </w:rPr>
              <w:t xml:space="preserve"> total</w:t>
            </w:r>
            <w:r w:rsidRPr="00B3554F">
              <w:rPr>
                <w:i/>
              </w:rPr>
              <w:t xml:space="preserve"> </w:t>
            </w:r>
            <w:r w:rsidR="0089005B">
              <w:rPr>
                <w:i/>
              </w:rPr>
              <w:t xml:space="preserve">annual </w:t>
            </w:r>
            <w:r w:rsidRPr="00B3554F">
              <w:rPr>
                <w:i/>
              </w:rPr>
              <w:t xml:space="preserve">fraud losses </w:t>
            </w:r>
            <w:r w:rsidR="000A2E29">
              <w:rPr>
                <w:i/>
              </w:rPr>
              <w:t xml:space="preserve">across the bank </w:t>
            </w:r>
            <w:r w:rsidRPr="00B3554F">
              <w:rPr>
                <w:i/>
              </w:rPr>
              <w:t>higher than EUR 500,000.</w:t>
            </w:r>
            <w:r w:rsidR="0089005B">
              <w:rPr>
                <w:i/>
              </w:rPr>
              <w:t xml:space="preserve"> This figure represents a 20% reduction relative to the average annual fraud losses over the past 3 years.</w:t>
            </w:r>
            <w:r w:rsidR="0071502F">
              <w:rPr>
                <w:i/>
              </w:rPr>
              <w:t xml:space="preserve"> </w:t>
            </w:r>
            <w:r w:rsidR="007638E0">
              <w:rPr>
                <w:i/>
              </w:rPr>
              <w:t>To minimise fraud losses the bank has also committed to an overhaul of its online banking system and increased the headcount in its fraud prevention unit</w:t>
            </w:r>
            <w:r w:rsidR="000A2E29">
              <w:rPr>
                <w:i/>
              </w:rPr>
              <w:t xml:space="preserve"> by 5%</w:t>
            </w:r>
            <w:r w:rsidR="007638E0">
              <w:rPr>
                <w:i/>
              </w:rPr>
              <w:t>.</w:t>
            </w:r>
          </w:p>
          <w:p w:rsidR="000D5246" w:rsidRPr="00E44FBD" w:rsidRDefault="000D5246" w:rsidP="00241BF5">
            <w:pPr>
              <w:pStyle w:val="NeAdnumber-level1"/>
              <w:keepNext/>
              <w:numPr>
                <w:ilvl w:val="0"/>
                <w:numId w:val="0"/>
              </w:numPr>
            </w:pPr>
            <w:r w:rsidRPr="00B3554F">
              <w:t>Th</w:t>
            </w:r>
            <w:r w:rsidR="000A2E29">
              <w:t>e</w:t>
            </w:r>
            <w:r w:rsidRPr="00B3554F">
              <w:t xml:space="preserve"> </w:t>
            </w:r>
            <w:r w:rsidR="000A2E29">
              <w:t>limit allows</w:t>
            </w:r>
            <w:r w:rsidRPr="00B3554F">
              <w:t xml:space="preserve"> the bank to effectively include specific areas of operational risks into the RAF. </w:t>
            </w:r>
            <w:r w:rsidR="000A2E29">
              <w:t>The accompanying</w:t>
            </w:r>
            <w:r w:rsidRPr="00B3554F">
              <w:t xml:space="preserve"> </w:t>
            </w:r>
            <w:r w:rsidR="000A2E29">
              <w:t>measures to limit</w:t>
            </w:r>
            <w:r w:rsidRPr="00B3554F">
              <w:t xml:space="preserve"> fraud</w:t>
            </w:r>
            <w:r w:rsidR="00B91A4A">
              <w:t xml:space="preserve"> losses</w:t>
            </w:r>
            <w:r w:rsidR="000A2E29">
              <w:t xml:space="preserve"> provide further detail on how the bank intends to keep losses within the limit</w:t>
            </w:r>
            <w:r w:rsidRPr="00B3554F">
              <w:t xml:space="preserve">. These </w:t>
            </w:r>
            <w:r w:rsidR="00CB14FB">
              <w:t>commitments</w:t>
            </w:r>
            <w:r w:rsidRPr="00B3554F">
              <w:t xml:space="preserve"> must convincingly support the </w:t>
            </w:r>
            <w:r w:rsidR="00AE681E">
              <w:t>reduction in fraud losses relative to the past 3 years</w:t>
            </w:r>
            <w:r w:rsidR="006A4BE2">
              <w:t>. The bank should also consider</w:t>
            </w:r>
            <w:r w:rsidRPr="00B3554F">
              <w:t xml:space="preserve"> </w:t>
            </w:r>
            <w:r w:rsidR="006A4BE2">
              <w:t>tracking</w:t>
            </w:r>
            <w:r w:rsidRPr="00B3554F">
              <w:t xml:space="preserve"> over time not only loss events but also the number and frequency of near misses.</w:t>
            </w:r>
          </w:p>
        </w:tc>
      </w:tr>
    </w:tbl>
    <w:p w:rsidR="000D5246" w:rsidRDefault="000D5246" w:rsidP="000D5246">
      <w:pPr>
        <w:pStyle w:val="NeAdnumber-level1"/>
        <w:numPr>
          <w:ilvl w:val="0"/>
          <w:numId w:val="0"/>
        </w:numPr>
        <w:ind w:left="567"/>
      </w:pPr>
    </w:p>
    <w:p w:rsidR="00162823" w:rsidRDefault="002F4582" w:rsidP="002D4715">
      <w:pPr>
        <w:pStyle w:val="NeAdH3"/>
      </w:pPr>
      <w:bookmarkStart w:id="26" w:name="_Toc510622699"/>
      <w:r>
        <w:t>RA</w:t>
      </w:r>
      <w:r w:rsidR="00FC2A3F">
        <w:t>P</w:t>
      </w:r>
      <w:r>
        <w:t xml:space="preserve"> </w:t>
      </w:r>
      <w:r w:rsidR="00725854">
        <w:t>Metrics</w:t>
      </w:r>
      <w:r w:rsidR="00833B8C">
        <w:t xml:space="preserve"> and Proportionality</w:t>
      </w:r>
      <w:bookmarkEnd w:id="26"/>
    </w:p>
    <w:p w:rsidR="002D4715" w:rsidRPr="002D4715" w:rsidRDefault="008D1B08" w:rsidP="002D4715">
      <w:pPr>
        <w:pStyle w:val="NeAdnumber-level1"/>
      </w:pPr>
      <w:r>
        <w:t>The</w:t>
      </w:r>
      <w:r w:rsidR="00FC22F7">
        <w:t xml:space="preserve"> discussion of</w:t>
      </w:r>
      <w:r w:rsidR="002D4715" w:rsidRPr="002D4715">
        <w:t xml:space="preserve"> RAF </w:t>
      </w:r>
      <w:r w:rsidR="00A129B1">
        <w:t>metrics</w:t>
      </w:r>
      <w:r w:rsidR="002D4715" w:rsidRPr="002D4715">
        <w:t xml:space="preserve"> </w:t>
      </w:r>
      <w:r w:rsidR="00682C84">
        <w:t xml:space="preserve">above </w:t>
      </w:r>
      <w:r w:rsidR="002D4715" w:rsidRPr="002D4715">
        <w:t>raise</w:t>
      </w:r>
      <w:r w:rsidR="00FC22F7">
        <w:t>s</w:t>
      </w:r>
      <w:r w:rsidR="002D4715" w:rsidRPr="002D4715">
        <w:t xml:space="preserve"> important proportionality issues.</w:t>
      </w:r>
    </w:p>
    <w:p w:rsidR="00725854" w:rsidRDefault="00652F24" w:rsidP="0091755A">
      <w:pPr>
        <w:pStyle w:val="NeAdnumber-level1"/>
      </w:pPr>
      <w:r>
        <w:t xml:space="preserve">Larger and more complex banks </w:t>
      </w:r>
      <w:r w:rsidR="001F6BD4">
        <w:t xml:space="preserve">can be expected to </w:t>
      </w:r>
      <w:r w:rsidR="004F355C">
        <w:t xml:space="preserve">calculate their risk capacity based on </w:t>
      </w:r>
      <w:r w:rsidR="008D1B08">
        <w:t xml:space="preserve">internal capital calculations and/or </w:t>
      </w:r>
      <w:r w:rsidR="004F355C">
        <w:t>Pillar 2</w:t>
      </w:r>
      <w:r w:rsidR="00903B7C">
        <w:t xml:space="preserve"> capital</w:t>
      </w:r>
      <w:r w:rsidR="005C7D74">
        <w:t xml:space="preserve"> requirements</w:t>
      </w:r>
      <w:r w:rsidR="004F355C">
        <w:t xml:space="preserve">. </w:t>
      </w:r>
      <w:r w:rsidR="00280801">
        <w:t>Smaller</w:t>
      </w:r>
      <w:r w:rsidR="00014089">
        <w:t xml:space="preserve"> </w:t>
      </w:r>
      <w:r w:rsidR="00094B25">
        <w:t>banks</w:t>
      </w:r>
      <w:r w:rsidR="002461FE">
        <w:t xml:space="preserve"> </w:t>
      </w:r>
      <w:r w:rsidR="005C7D74">
        <w:t>often</w:t>
      </w:r>
      <w:r w:rsidR="002461FE">
        <w:t xml:space="preserve"> rely on Pillar 1 when calculating their capital </w:t>
      </w:r>
      <w:r w:rsidR="005C7D74">
        <w:t>requirements and might therefore also focus on this approach when calculating their risk capacity.</w:t>
      </w:r>
      <w:r w:rsidR="00C60648">
        <w:t xml:space="preserve"> It is also important to note </w:t>
      </w:r>
      <w:r w:rsidR="00B83BA9">
        <w:t xml:space="preserve">however, that </w:t>
      </w:r>
      <w:r w:rsidR="00E40760">
        <w:t>a bank’s</w:t>
      </w:r>
      <w:r w:rsidR="00B83BA9">
        <w:t xml:space="preserve"> approach </w:t>
      </w:r>
      <w:r w:rsidR="00E40760">
        <w:t xml:space="preserve">in calculating capital requirements </w:t>
      </w:r>
      <w:r w:rsidR="00B83BA9">
        <w:t>is often determined by the competent supervisor</w:t>
      </w:r>
      <w:r w:rsidR="006470FA">
        <w:t xml:space="preserve">: if </w:t>
      </w:r>
      <w:r w:rsidR="00B83BA9">
        <w:t xml:space="preserve">the supervisor sets a Pillar 2 add-on capital requirement for a smaller bank as a result of the SREP, </w:t>
      </w:r>
      <w:r w:rsidR="0091755A">
        <w:t xml:space="preserve">the </w:t>
      </w:r>
      <w:r w:rsidR="00E40760">
        <w:t xml:space="preserve">bank </w:t>
      </w:r>
      <w:r w:rsidR="004F4E6E">
        <w:t>can also be expected</w:t>
      </w:r>
      <w:r w:rsidR="00E40760">
        <w:t xml:space="preserve"> </w:t>
      </w:r>
      <w:r w:rsidR="004F4E6E">
        <w:t>to</w:t>
      </w:r>
      <w:r w:rsidR="00E40760">
        <w:t xml:space="preserve"> </w:t>
      </w:r>
      <w:r w:rsidR="0091755A">
        <w:t xml:space="preserve">use the approach under Pillar 2 to </w:t>
      </w:r>
      <w:r w:rsidR="00E40760">
        <w:t xml:space="preserve">calculate </w:t>
      </w:r>
      <w:r w:rsidR="0091755A">
        <w:t xml:space="preserve">its </w:t>
      </w:r>
      <w:r w:rsidR="00E40760">
        <w:t>risk capacity</w:t>
      </w:r>
      <w:r w:rsidR="0091755A">
        <w:t>.</w:t>
      </w:r>
      <w:r w:rsidR="009A4F9A">
        <w:t xml:space="preserve"> In other words, smaller banks may choose to stick to regulatory capital metrics unless the supervisor concretely expects otherwise.</w:t>
      </w:r>
    </w:p>
    <w:p w:rsidR="0021438C" w:rsidRPr="002D3ADA" w:rsidRDefault="00AA44DC" w:rsidP="002D3ADA">
      <w:pPr>
        <w:pStyle w:val="NeAdnumber-level1"/>
      </w:pPr>
      <w:r>
        <w:t>Many smaller b</w:t>
      </w:r>
      <w:r w:rsidR="007A1C30">
        <w:t xml:space="preserve">anks </w:t>
      </w:r>
      <w:r w:rsidR="008D1B08">
        <w:t>might</w:t>
      </w:r>
      <w:r w:rsidR="007A1C30">
        <w:t xml:space="preserve"> find it challenging to capture material non-financial risks </w:t>
      </w:r>
      <w:r>
        <w:t>in their RAFs</w:t>
      </w:r>
      <w:r w:rsidR="007A1C30">
        <w:t xml:space="preserve">. It </w:t>
      </w:r>
      <w:r w:rsidR="00025E80">
        <w:t xml:space="preserve">should therefore be noted that </w:t>
      </w:r>
      <w:r w:rsidR="007A1C30">
        <w:t xml:space="preserve">the </w:t>
      </w:r>
      <w:r w:rsidR="007A1C30" w:rsidRPr="00E25C6D">
        <w:t>ECB</w:t>
      </w:r>
      <w:r w:rsidR="007A1C30">
        <w:rPr>
          <w:rStyle w:val="Sprotnaopomba-sklic"/>
        </w:rPr>
        <w:footnoteReference w:id="27"/>
      </w:r>
      <w:r w:rsidR="007A1C30" w:rsidRPr="00E25C6D">
        <w:t xml:space="preserve"> </w:t>
      </w:r>
      <w:r w:rsidR="007A1C30">
        <w:t>and the FSB</w:t>
      </w:r>
      <w:r w:rsidR="007A1C30">
        <w:rPr>
          <w:rStyle w:val="Sprotnaopomba-sklic"/>
        </w:rPr>
        <w:footnoteReference w:id="28"/>
      </w:r>
      <w:r w:rsidR="007A1C30">
        <w:t xml:space="preserve"> accept that </w:t>
      </w:r>
      <w:r w:rsidR="007A1C30" w:rsidRPr="00E25C6D">
        <w:t>banks</w:t>
      </w:r>
      <w:r w:rsidR="007A1C30">
        <w:t xml:space="preserve"> </w:t>
      </w:r>
      <w:r w:rsidR="00241BF5">
        <w:t xml:space="preserve">may </w:t>
      </w:r>
      <w:r w:rsidR="007A1C30">
        <w:t xml:space="preserve">address non-financial risks </w:t>
      </w:r>
      <w:r w:rsidR="007A1C30" w:rsidRPr="00411562">
        <w:t xml:space="preserve">in a </w:t>
      </w:r>
      <w:r w:rsidR="00025E80">
        <w:t xml:space="preserve">purely </w:t>
      </w:r>
      <w:r w:rsidR="007A1C30" w:rsidRPr="00411562">
        <w:t>qualitative way</w:t>
      </w:r>
      <w:r w:rsidR="002F4FF6">
        <w:t>.</w:t>
      </w:r>
      <w:r w:rsidR="007A1C30" w:rsidRPr="000B4051">
        <w:t xml:space="preserve"> </w:t>
      </w:r>
      <w:r w:rsidR="002F4FF6">
        <w:t>We believe that this will make it easier for smaller</w:t>
      </w:r>
      <w:r w:rsidR="008D1B08">
        <w:t>, less complex</w:t>
      </w:r>
      <w:r w:rsidR="002F4FF6">
        <w:t xml:space="preserve"> </w:t>
      </w:r>
      <w:r w:rsidR="00094B25">
        <w:t>banks</w:t>
      </w:r>
      <w:r w:rsidR="002F4FF6">
        <w:t xml:space="preserve"> to design comprehensive RAFs. </w:t>
      </w:r>
      <w:r w:rsidR="00241BF5">
        <w:t>However,</w:t>
      </w:r>
      <w:r w:rsidR="00B92A30">
        <w:t xml:space="preserve"> </w:t>
      </w:r>
      <w:r w:rsidR="00241BF5">
        <w:t>t</w:t>
      </w:r>
      <w:r w:rsidR="002F4FF6">
        <w:t xml:space="preserve">hey should keep in mind that these qualitative </w:t>
      </w:r>
      <w:r w:rsidR="005B55FE">
        <w:t>statements</w:t>
      </w:r>
      <w:r w:rsidR="002F4FF6">
        <w:t xml:space="preserve"> must be specific enough to be challenged </w:t>
      </w:r>
      <w:r w:rsidR="005B55FE">
        <w:t>and benchmarked internally and externally.</w:t>
      </w:r>
    </w:p>
    <w:p w:rsidR="004925C8" w:rsidRPr="00B521EC" w:rsidRDefault="00FC70BD" w:rsidP="004A248E">
      <w:pPr>
        <w:pStyle w:val="NeAdH2"/>
      </w:pPr>
      <w:bookmarkStart w:id="27" w:name="_Toc510622700"/>
      <w:r>
        <w:t>Embedding and Cascading</w:t>
      </w:r>
      <w:bookmarkEnd w:id="27"/>
    </w:p>
    <w:p w:rsidR="00827F1B" w:rsidRDefault="00415562" w:rsidP="00827F1B">
      <w:pPr>
        <w:pStyle w:val="NeAdH3"/>
      </w:pPr>
      <w:bookmarkStart w:id="28" w:name="_Toc510622701"/>
      <w:r>
        <w:t>Cascading and Escalation</w:t>
      </w:r>
      <w:bookmarkEnd w:id="28"/>
    </w:p>
    <w:p w:rsidR="00E25174" w:rsidRPr="00E25174" w:rsidRDefault="00406908" w:rsidP="00864116">
      <w:pPr>
        <w:pStyle w:val="NeAdH42"/>
        <w:keepNext/>
      </w:pPr>
      <w:r>
        <w:t>Guidelines</w:t>
      </w:r>
    </w:p>
    <w:tbl>
      <w:tblPr>
        <w:tblStyle w:val="Tabelamrea"/>
        <w:tblW w:w="0" w:type="auto"/>
        <w:tblInd w:w="-147" w:type="dxa"/>
        <w:tblLook w:val="04A0" w:firstRow="1" w:lastRow="0" w:firstColumn="1" w:lastColumn="0" w:noHBand="0" w:noVBand="1"/>
      </w:tblPr>
      <w:tblGrid>
        <w:gridCol w:w="8642"/>
      </w:tblGrid>
      <w:tr w:rsidR="00DC4293" w:rsidTr="00250A41">
        <w:trPr>
          <w:trHeight w:val="1809"/>
        </w:trPr>
        <w:tc>
          <w:tcPr>
            <w:tcW w:w="8642" w:type="dxa"/>
            <w:shd w:val="clear" w:color="auto" w:fill="B4C6E7" w:themeFill="accent1" w:themeFillTint="66"/>
          </w:tcPr>
          <w:p w:rsidR="00E734F4" w:rsidRDefault="00E734F4" w:rsidP="00E734F4">
            <w:pPr>
              <w:pStyle w:val="NeAdnumber-level1"/>
              <w:numPr>
                <w:ilvl w:val="0"/>
                <w:numId w:val="0"/>
              </w:numPr>
              <w:rPr>
                <w:i/>
              </w:rPr>
            </w:pPr>
            <w:r>
              <w:rPr>
                <w:i/>
              </w:rPr>
              <w:t>1</w:t>
            </w:r>
            <w:r w:rsidR="00A42957">
              <w:rPr>
                <w:i/>
              </w:rPr>
              <w:t>7</w:t>
            </w:r>
            <w:r w:rsidR="00AA2FDD">
              <w:rPr>
                <w:i/>
              </w:rPr>
              <w:t>.</w:t>
            </w:r>
            <w:r w:rsidRPr="00AA2FDD">
              <w:rPr>
                <w:i/>
              </w:rPr>
              <w:t xml:space="preserve"> </w:t>
            </w:r>
            <w:r>
              <w:rPr>
                <w:b/>
                <w:i/>
              </w:rPr>
              <w:t>RAP</w:t>
            </w:r>
            <w:r w:rsidRPr="004C5C12">
              <w:rPr>
                <w:b/>
                <w:i/>
              </w:rPr>
              <w:t xml:space="preserve"> limits and thresholds </w:t>
            </w:r>
            <w:r>
              <w:rPr>
                <w:b/>
                <w:i/>
              </w:rPr>
              <w:t>should be meaningful at every level.</w:t>
            </w:r>
            <w:r w:rsidRPr="004C5C12">
              <w:rPr>
                <w:b/>
                <w:i/>
              </w:rPr>
              <w:t xml:space="preserve"> </w:t>
            </w:r>
            <w:r w:rsidRPr="008E3BB0">
              <w:rPr>
                <w:i/>
              </w:rPr>
              <w:t>T</w:t>
            </w:r>
            <w:r w:rsidRPr="00DC4293">
              <w:rPr>
                <w:i/>
              </w:rPr>
              <w:t xml:space="preserve">hey </w:t>
            </w:r>
            <w:r>
              <w:rPr>
                <w:i/>
              </w:rPr>
              <w:t xml:space="preserve">should </w:t>
            </w:r>
            <w:r w:rsidRPr="00DC4293">
              <w:rPr>
                <w:i/>
              </w:rPr>
              <w:t xml:space="preserve">constitute actual constraints on business decisions and risk taking across </w:t>
            </w:r>
            <w:r w:rsidR="008D1B08">
              <w:rPr>
                <w:i/>
              </w:rPr>
              <w:t>the</w:t>
            </w:r>
            <w:r>
              <w:rPr>
                <w:i/>
              </w:rPr>
              <w:t xml:space="preserve"> bank’s businesses and activities</w:t>
            </w:r>
            <w:r w:rsidRPr="00DC4293">
              <w:rPr>
                <w:i/>
              </w:rPr>
              <w:t>.</w:t>
            </w:r>
            <w:r>
              <w:rPr>
                <w:i/>
              </w:rPr>
              <w:t xml:space="preserve"> </w:t>
            </w:r>
          </w:p>
          <w:p w:rsidR="00E734F4" w:rsidRPr="00DC4293" w:rsidRDefault="00E734F4" w:rsidP="00E734F4">
            <w:pPr>
              <w:pStyle w:val="NeAdnumber-level1"/>
              <w:numPr>
                <w:ilvl w:val="0"/>
                <w:numId w:val="0"/>
              </w:numPr>
              <w:rPr>
                <w:i/>
              </w:rPr>
            </w:pPr>
            <w:r>
              <w:rPr>
                <w:i/>
              </w:rPr>
              <w:t>1</w:t>
            </w:r>
            <w:r w:rsidR="00A42957">
              <w:rPr>
                <w:i/>
              </w:rPr>
              <w:t>8</w:t>
            </w:r>
            <w:r>
              <w:rPr>
                <w:i/>
              </w:rPr>
              <w:t>.</w:t>
            </w:r>
            <w:r w:rsidR="00AA2FDD">
              <w:rPr>
                <w:i/>
              </w:rPr>
              <w:t xml:space="preserve"> </w:t>
            </w:r>
            <w:r w:rsidR="006221D6">
              <w:rPr>
                <w:i/>
              </w:rPr>
              <w:t>The b</w:t>
            </w:r>
            <w:r w:rsidRPr="00B828A9">
              <w:rPr>
                <w:i/>
              </w:rPr>
              <w:t xml:space="preserve">ank </w:t>
            </w:r>
            <w:r w:rsidRPr="00DC4293">
              <w:rPr>
                <w:i/>
              </w:rPr>
              <w:t>need</w:t>
            </w:r>
            <w:r w:rsidR="006221D6">
              <w:rPr>
                <w:i/>
              </w:rPr>
              <w:t>s</w:t>
            </w:r>
            <w:r w:rsidRPr="00DC4293">
              <w:rPr>
                <w:i/>
              </w:rPr>
              <w:t xml:space="preserve"> to establish </w:t>
            </w:r>
            <w:r w:rsidRPr="004C5C12">
              <w:rPr>
                <w:b/>
                <w:i/>
              </w:rPr>
              <w:t>clear escalation procedures</w:t>
            </w:r>
            <w:r w:rsidRPr="00DC4293">
              <w:rPr>
                <w:i/>
              </w:rPr>
              <w:t xml:space="preserve"> regarding both </w:t>
            </w:r>
            <w:r>
              <w:rPr>
                <w:i/>
              </w:rPr>
              <w:t>RAP</w:t>
            </w:r>
            <w:r w:rsidRPr="00DC4293">
              <w:rPr>
                <w:i/>
              </w:rPr>
              <w:t xml:space="preserve"> thresholds and </w:t>
            </w:r>
            <w:r>
              <w:rPr>
                <w:i/>
              </w:rPr>
              <w:t>RAP</w:t>
            </w:r>
            <w:r w:rsidRPr="00DC4293">
              <w:rPr>
                <w:i/>
              </w:rPr>
              <w:t xml:space="preserve"> limits. </w:t>
            </w:r>
          </w:p>
          <w:p w:rsidR="00DC4293" w:rsidRPr="000D691B" w:rsidRDefault="00A42957" w:rsidP="00E734F4">
            <w:pPr>
              <w:pStyle w:val="NeAdnumber-level1"/>
              <w:numPr>
                <w:ilvl w:val="0"/>
                <w:numId w:val="0"/>
              </w:numPr>
              <w:rPr>
                <w:i/>
              </w:rPr>
            </w:pPr>
            <w:r>
              <w:rPr>
                <w:i/>
              </w:rPr>
              <w:t>19</w:t>
            </w:r>
            <w:r w:rsidR="00E734F4">
              <w:rPr>
                <w:i/>
              </w:rPr>
              <w:t>. The SBRC needs to have</w:t>
            </w:r>
            <w:r w:rsidR="00E734F4" w:rsidRPr="00DC4293">
              <w:rPr>
                <w:i/>
              </w:rPr>
              <w:t xml:space="preserve"> </w:t>
            </w:r>
            <w:r w:rsidR="00E734F4" w:rsidRPr="004C5C12">
              <w:rPr>
                <w:b/>
                <w:i/>
              </w:rPr>
              <w:t>early warning triggers</w:t>
            </w:r>
            <w:r w:rsidR="00E734F4">
              <w:rPr>
                <w:b/>
                <w:i/>
              </w:rPr>
              <w:t xml:space="preserve"> built into the RAS dashboard for all the RAS categories </w:t>
            </w:r>
            <w:r w:rsidR="00E734F4" w:rsidRPr="005D4868">
              <w:rPr>
                <w:i/>
              </w:rPr>
              <w:t>(“buckets”).</w:t>
            </w:r>
          </w:p>
        </w:tc>
      </w:tr>
    </w:tbl>
    <w:p w:rsidR="00622532" w:rsidRDefault="00406908" w:rsidP="00864116">
      <w:pPr>
        <w:pStyle w:val="NeAdH42"/>
        <w:keepNext/>
      </w:pPr>
      <w:r>
        <w:t>Discussion</w:t>
      </w:r>
    </w:p>
    <w:p w:rsidR="00F9511E" w:rsidRDefault="00586D97" w:rsidP="00F9511E">
      <w:pPr>
        <w:pStyle w:val="NeAdnumber-level1"/>
      </w:pPr>
      <w:r w:rsidRPr="00586D97">
        <w:t xml:space="preserve">Well-developed RAFs include a set of RAP </w:t>
      </w:r>
      <w:r w:rsidRPr="009A4F9A">
        <w:t xml:space="preserve">metrics, </w:t>
      </w:r>
      <w:r w:rsidRPr="00DA32D5">
        <w:t>thresholds</w:t>
      </w:r>
      <w:r w:rsidRPr="009A4F9A">
        <w:t xml:space="preserve">, and </w:t>
      </w:r>
      <w:r w:rsidRPr="00DA32D5">
        <w:t>limits</w:t>
      </w:r>
      <w:r w:rsidRPr="00586D97">
        <w:t xml:space="preserve">. </w:t>
      </w:r>
      <w:r w:rsidR="007A2F71">
        <w:t xml:space="preserve">As discussed above </w:t>
      </w:r>
      <w:r w:rsidR="007A2F71" w:rsidRPr="009126F5">
        <w:t>under I. C.,</w:t>
      </w:r>
      <w:r w:rsidR="007A2F71">
        <w:t xml:space="preserve"> RAP threshold</w:t>
      </w:r>
      <w:r w:rsidR="00AA3F4F">
        <w:t>s</w:t>
      </w:r>
      <w:r w:rsidR="007A2F71">
        <w:t xml:space="preserve"> </w:t>
      </w:r>
      <w:r w:rsidR="007A2F71" w:rsidRPr="007A2F71">
        <w:t>set the level of RAP the bank wants to assume with respect to a given aggregation of assets</w:t>
      </w:r>
      <w:r w:rsidR="00D42CAA">
        <w:t xml:space="preserve"> (portfolio), and RAP limits </w:t>
      </w:r>
      <w:r w:rsidR="00D42CAA" w:rsidRPr="00D42CAA">
        <w:t>set the level of RAP either for a given (often relatively small) portfolio or for specific transactions.</w:t>
      </w:r>
      <w:r w:rsidR="00491A2B">
        <w:t xml:space="preserve"> </w:t>
      </w:r>
      <w:r w:rsidRPr="00655ED1">
        <w:t>RAP being a top</w:t>
      </w:r>
      <w:r w:rsidR="007D45C9">
        <w:t>-</w:t>
      </w:r>
      <w:r w:rsidRPr="00655ED1">
        <w:t>down process, all RAP thresholds and limits are cascaded down from the top</w:t>
      </w:r>
      <w:r w:rsidR="00655ED1" w:rsidRPr="00655ED1">
        <w:t>-</w:t>
      </w:r>
      <w:r w:rsidRPr="00655ED1">
        <w:t>level RAS metrics.</w:t>
      </w:r>
    </w:p>
    <w:p w:rsidR="00586D97" w:rsidRDefault="00CE4E74" w:rsidP="00F9511E">
      <w:pPr>
        <w:pStyle w:val="NeAdnumber-level1"/>
      </w:pPr>
      <w:r w:rsidRPr="00CE4E74">
        <w:t>Importantly, thresholds and limits differ with respect to the consequences of a breach. The breach of a limit is a hard constraint on business approvals; when a threshold is breached, this merely requires reporting to a higher instance in the bank</w:t>
      </w:r>
      <w:r>
        <w:t xml:space="preserve"> (“raising the flag”)</w:t>
      </w:r>
      <w:r w:rsidRPr="00CE4E74">
        <w:t>.</w:t>
      </w:r>
    </w:p>
    <w:tbl>
      <w:tblPr>
        <w:tblStyle w:val="Tabelamrea"/>
        <w:tblW w:w="0" w:type="auto"/>
        <w:tblInd w:w="-147" w:type="dxa"/>
        <w:tblLook w:val="04A0" w:firstRow="1" w:lastRow="0" w:firstColumn="1" w:lastColumn="0" w:noHBand="0" w:noVBand="1"/>
      </w:tblPr>
      <w:tblGrid>
        <w:gridCol w:w="8642"/>
      </w:tblGrid>
      <w:tr w:rsidR="005361CB" w:rsidTr="0076766E">
        <w:trPr>
          <w:trHeight w:val="1809"/>
        </w:trPr>
        <w:tc>
          <w:tcPr>
            <w:tcW w:w="8642" w:type="dxa"/>
            <w:shd w:val="clear" w:color="auto" w:fill="F7CAAC" w:themeFill="accent2" w:themeFillTint="66"/>
          </w:tcPr>
          <w:p w:rsidR="005361CB" w:rsidRPr="00530820" w:rsidRDefault="005361CB" w:rsidP="0076766E">
            <w:pPr>
              <w:pStyle w:val="NeAdnumber-level1"/>
              <w:keepNext/>
              <w:numPr>
                <w:ilvl w:val="0"/>
                <w:numId w:val="0"/>
              </w:numPr>
              <w:rPr>
                <w:b/>
              </w:rPr>
            </w:pPr>
            <w:r w:rsidRPr="00530820">
              <w:rPr>
                <w:b/>
              </w:rPr>
              <w:t>Case Box 5</w:t>
            </w:r>
          </w:p>
          <w:p w:rsidR="00E042F2" w:rsidRPr="00E042F2" w:rsidRDefault="005361CB" w:rsidP="00E042F2">
            <w:pPr>
              <w:pStyle w:val="NeAdnumber-level1"/>
              <w:keepNext/>
              <w:numPr>
                <w:ilvl w:val="0"/>
                <w:numId w:val="0"/>
              </w:numPr>
              <w:rPr>
                <w:i/>
              </w:rPr>
            </w:pPr>
            <w:r>
              <w:rPr>
                <w:i/>
              </w:rPr>
              <w:t>Bank E</w:t>
            </w:r>
            <w:r w:rsidR="00E042F2" w:rsidRPr="00E042F2">
              <w:rPr>
                <w:i/>
              </w:rPr>
              <w:t xml:space="preserve"> set</w:t>
            </w:r>
            <w:r w:rsidR="00241BF5">
              <w:rPr>
                <w:i/>
              </w:rPr>
              <w:t>s</w:t>
            </w:r>
            <w:r w:rsidR="00E042F2" w:rsidRPr="00E042F2">
              <w:rPr>
                <w:i/>
              </w:rPr>
              <w:t xml:space="preserve"> a RAP threshold for the whole of the mortgage portfolio of a retail business at 75% loan-to-value (LTV) ratio. As this is cascaded further down the organisation, mortgages for some specific regions (domestic branches or foreign entities) </w:t>
            </w:r>
            <w:r w:rsidR="00576013">
              <w:rPr>
                <w:i/>
              </w:rPr>
              <w:t>are</w:t>
            </w:r>
            <w:r w:rsidR="00E042F2" w:rsidRPr="00E042F2">
              <w:rPr>
                <w:i/>
              </w:rPr>
              <w:t xml:space="preserve"> set at different LTV levels.</w:t>
            </w:r>
          </w:p>
          <w:p w:rsidR="005361CB" w:rsidRPr="00E042F2" w:rsidRDefault="00E042F2" w:rsidP="00241BF5">
            <w:pPr>
              <w:pStyle w:val="NeAdnumber-level1"/>
              <w:keepNext/>
              <w:numPr>
                <w:ilvl w:val="0"/>
                <w:numId w:val="0"/>
              </w:numPr>
              <w:rPr>
                <w:i/>
              </w:rPr>
            </w:pPr>
            <w:r w:rsidRPr="00E042F2">
              <w:rPr>
                <w:i/>
              </w:rPr>
              <w:t xml:space="preserve">Appropriate RAP limits </w:t>
            </w:r>
            <w:r w:rsidR="00576013">
              <w:rPr>
                <w:i/>
              </w:rPr>
              <w:t>are then established</w:t>
            </w:r>
            <w:r w:rsidRPr="00E042F2">
              <w:rPr>
                <w:i/>
              </w:rPr>
              <w:t xml:space="preserve"> </w:t>
            </w:r>
            <w:r w:rsidR="00576013">
              <w:rPr>
                <w:i/>
              </w:rPr>
              <w:t>for</w:t>
            </w:r>
            <w:r w:rsidRPr="00E042F2">
              <w:rPr>
                <w:i/>
              </w:rPr>
              <w:t xml:space="preserve"> the respective product segments, e.g. an operational RAP limit for individual mortgages in city X at 90% LTV ratio (transaction limit). This means that individual transactions c</w:t>
            </w:r>
            <w:r w:rsidR="002171B7">
              <w:rPr>
                <w:i/>
              </w:rPr>
              <w:t xml:space="preserve">annot </w:t>
            </w:r>
            <w:r w:rsidRPr="00E042F2">
              <w:rPr>
                <w:i/>
              </w:rPr>
              <w:t xml:space="preserve">be agreed at higher LTV levels without proper escalation. </w:t>
            </w:r>
          </w:p>
        </w:tc>
      </w:tr>
    </w:tbl>
    <w:p w:rsidR="003C0611" w:rsidRDefault="003C0611" w:rsidP="003C0611">
      <w:pPr>
        <w:pStyle w:val="NeAdnumber-level1"/>
        <w:numPr>
          <w:ilvl w:val="0"/>
          <w:numId w:val="0"/>
        </w:numPr>
        <w:ind w:left="567"/>
      </w:pPr>
    </w:p>
    <w:p w:rsidR="00F01103" w:rsidRPr="00F01103" w:rsidRDefault="00C475D2" w:rsidP="00F01103">
      <w:pPr>
        <w:pStyle w:val="NeAdnumber-level1"/>
      </w:pPr>
      <w:r w:rsidRPr="00C475D2">
        <w:t>RAP limits are only effective in steering risk taking across the bank</w:t>
      </w:r>
      <w:r w:rsidR="00241BF5">
        <w:t>,</w:t>
      </w:r>
      <w:r w:rsidRPr="00C475D2">
        <w:t xml:space="preserve"> if they are designed as real and meaningful constraints on business decisions. This means that limits need to be close enough to the actual (or potential) risk profile of a given business unit. </w:t>
      </w:r>
      <w:r w:rsidR="00F01103" w:rsidRPr="00F01103">
        <w:t xml:space="preserve">A risk profile that is too far within the RAP perimeter (see </w:t>
      </w:r>
      <w:r w:rsidR="00F01103">
        <w:t xml:space="preserve">graph </w:t>
      </w:r>
      <w:r w:rsidR="00420CAA">
        <w:t>B</w:t>
      </w:r>
      <w:r w:rsidR="00F01103">
        <w:t xml:space="preserve"> below</w:t>
      </w:r>
      <w:r w:rsidR="00B14878">
        <w:t xml:space="preserve"> for an illustration of the concepts involved</w:t>
      </w:r>
      <w:r w:rsidR="00F01103" w:rsidRPr="00F01103">
        <w:t xml:space="preserve">) might actually indicate that the bank is taking far too few risks and that therefore it might be undermining its </w:t>
      </w:r>
      <w:r w:rsidR="009A7B51" w:rsidRPr="00F01103">
        <w:t>long-term</w:t>
      </w:r>
      <w:r w:rsidR="00F01103" w:rsidRPr="00F01103">
        <w:t xml:space="preserve"> profitability and </w:t>
      </w:r>
      <w:r w:rsidR="009A7B51">
        <w:t>hence</w:t>
      </w:r>
      <w:r w:rsidR="00F01103" w:rsidRPr="00F01103">
        <w:t xml:space="preserve"> its soundness and sustainability. </w:t>
      </w:r>
    </w:p>
    <w:p w:rsidR="00A470F5" w:rsidRDefault="002F1164" w:rsidP="00243776">
      <w:pPr>
        <w:pStyle w:val="NeAdnumber-level1"/>
        <w:numPr>
          <w:ilvl w:val="0"/>
          <w:numId w:val="0"/>
        </w:numPr>
        <w:ind w:left="567"/>
      </w:pPr>
      <w:r w:rsidRPr="00E162DA">
        <w:rPr>
          <w:noProof/>
          <w:lang w:val="sl-SI" w:eastAsia="sl-SI"/>
        </w:rPr>
        <w:drawing>
          <wp:inline distT="0" distB="0" distL="0" distR="0" wp14:anchorId="65A92C9F" wp14:editId="2621CFF7">
            <wp:extent cx="3593987" cy="35236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593987" cy="3523615"/>
                    </a:xfrm>
                    <a:prstGeom prst="rect">
                      <a:avLst/>
                    </a:prstGeom>
                    <a:noFill/>
                  </pic:spPr>
                </pic:pic>
              </a:graphicData>
            </a:graphic>
          </wp:inline>
        </w:drawing>
      </w:r>
    </w:p>
    <w:p w:rsidR="00BF362E" w:rsidRDefault="00BF362E" w:rsidP="00B17634">
      <w:pPr>
        <w:pStyle w:val="NeAdnumber-level1"/>
        <w:numPr>
          <w:ilvl w:val="0"/>
          <w:numId w:val="0"/>
        </w:numPr>
      </w:pPr>
    </w:p>
    <w:tbl>
      <w:tblPr>
        <w:tblStyle w:val="Tabelamrea"/>
        <w:tblW w:w="0" w:type="auto"/>
        <w:tblInd w:w="-147" w:type="dxa"/>
        <w:tblLook w:val="04A0" w:firstRow="1" w:lastRow="0" w:firstColumn="1" w:lastColumn="0" w:noHBand="0" w:noVBand="1"/>
      </w:tblPr>
      <w:tblGrid>
        <w:gridCol w:w="8642"/>
      </w:tblGrid>
      <w:tr w:rsidR="00B2170A" w:rsidTr="0076766E">
        <w:trPr>
          <w:trHeight w:val="1809"/>
        </w:trPr>
        <w:tc>
          <w:tcPr>
            <w:tcW w:w="8642" w:type="dxa"/>
            <w:shd w:val="clear" w:color="auto" w:fill="F7CAAC" w:themeFill="accent2" w:themeFillTint="66"/>
          </w:tcPr>
          <w:p w:rsidR="00B2170A" w:rsidRPr="00247961" w:rsidRDefault="00B2170A" w:rsidP="0076766E">
            <w:pPr>
              <w:pStyle w:val="NeAdnumber-level1"/>
              <w:keepNext/>
              <w:numPr>
                <w:ilvl w:val="0"/>
                <w:numId w:val="0"/>
              </w:numPr>
              <w:rPr>
                <w:b/>
              </w:rPr>
            </w:pPr>
            <w:r w:rsidRPr="00247961">
              <w:rPr>
                <w:b/>
              </w:rPr>
              <w:t>Case Box 6</w:t>
            </w:r>
          </w:p>
          <w:p w:rsidR="00B2170A" w:rsidRPr="00B2170A" w:rsidRDefault="00B2170A" w:rsidP="00B2170A">
            <w:pPr>
              <w:pStyle w:val="NeAdnumber-level1"/>
              <w:keepNext/>
              <w:numPr>
                <w:ilvl w:val="0"/>
                <w:numId w:val="0"/>
              </w:numPr>
              <w:rPr>
                <w:i/>
              </w:rPr>
            </w:pPr>
            <w:r w:rsidRPr="00B2170A">
              <w:rPr>
                <w:i/>
              </w:rPr>
              <w:t xml:space="preserve">Bank </w:t>
            </w:r>
            <w:r w:rsidR="00D76C08">
              <w:rPr>
                <w:i/>
              </w:rPr>
              <w:t>F</w:t>
            </w:r>
            <w:r w:rsidRPr="00B2170A">
              <w:rPr>
                <w:i/>
              </w:rPr>
              <w:t xml:space="preserve"> is using RoTE as a metric of profitability risk (or soundness). However, in the proposed RAS the respective RAP threshold is set is the same level as the RoE target of the business plan (10%). </w:t>
            </w:r>
          </w:p>
          <w:p w:rsidR="00B2170A" w:rsidRPr="00B2170A" w:rsidRDefault="00B2170A" w:rsidP="00B2170A">
            <w:pPr>
              <w:pStyle w:val="NeAdnumber-level1"/>
              <w:keepNext/>
              <w:numPr>
                <w:ilvl w:val="0"/>
                <w:numId w:val="0"/>
              </w:numPr>
              <w:rPr>
                <w:i/>
              </w:rPr>
            </w:pPr>
            <w:r w:rsidRPr="00B2170A">
              <w:rPr>
                <w:i/>
              </w:rPr>
              <w:t>The Chair of the SBRC argues that</w:t>
            </w:r>
            <w:r w:rsidR="001517FC">
              <w:rPr>
                <w:i/>
              </w:rPr>
              <w:t>,</w:t>
            </w:r>
            <w:r w:rsidRPr="00B2170A">
              <w:rPr>
                <w:i/>
              </w:rPr>
              <w:t xml:space="preserve"> while she understands that the RoTE can serve as a useful metric for the bank’s on-going profitability</w:t>
            </w:r>
            <w:r w:rsidR="001517FC">
              <w:rPr>
                <w:i/>
              </w:rPr>
              <w:t>,</w:t>
            </w:r>
            <w:r w:rsidRPr="00B2170A">
              <w:rPr>
                <w:i/>
              </w:rPr>
              <w:t xml:space="preserve"> what she really wants to see in the RAS is a lower RoTE value, below which the bank’s business is not sustainable. She argues that this is a target that needs to be met consistently across the bank’s portfolio. </w:t>
            </w:r>
          </w:p>
          <w:p w:rsidR="00B2170A" w:rsidRPr="00E042F2" w:rsidRDefault="00B2170A" w:rsidP="00B2170A">
            <w:pPr>
              <w:pStyle w:val="NeAdnumber-level1"/>
              <w:keepNext/>
              <w:numPr>
                <w:ilvl w:val="0"/>
                <w:numId w:val="0"/>
              </w:numPr>
              <w:rPr>
                <w:i/>
              </w:rPr>
            </w:pPr>
            <w:r w:rsidRPr="00B2170A">
              <w:rPr>
                <w:i/>
              </w:rPr>
              <w:t>There might actually be a need to set such minimum RoTE thresholds specifically for the trade finance business of the bank, which has been consistently underperforming in recent years. The SBRC would like to see early warning signs if these performance thresholds are not met.</w:t>
            </w:r>
          </w:p>
        </w:tc>
      </w:tr>
    </w:tbl>
    <w:p w:rsidR="00B2170A" w:rsidRDefault="00B2170A" w:rsidP="00B17634">
      <w:pPr>
        <w:pStyle w:val="NeAdnumber-level1"/>
        <w:numPr>
          <w:ilvl w:val="0"/>
          <w:numId w:val="0"/>
        </w:numPr>
      </w:pPr>
    </w:p>
    <w:p w:rsidR="00FD3450" w:rsidRDefault="00E50221" w:rsidP="00E50221">
      <w:pPr>
        <w:pStyle w:val="NeAdnumber-level1"/>
      </w:pPr>
      <w:r w:rsidRPr="00E50221">
        <w:t xml:space="preserve">RAFs need to establish clear procedures for what happens when a threshold or a limit </w:t>
      </w:r>
      <w:r>
        <w:t>is</w:t>
      </w:r>
      <w:r w:rsidRPr="00E50221">
        <w:t xml:space="preserve"> breached</w:t>
      </w:r>
      <w:r>
        <w:t>.</w:t>
      </w:r>
      <w:r w:rsidRPr="00E50221">
        <w:t xml:space="preserve"> This includes the designation of escalation authorities, timelines and </w:t>
      </w:r>
      <w:r>
        <w:t xml:space="preserve">potential </w:t>
      </w:r>
      <w:r w:rsidRPr="00E50221">
        <w:t>remedial action</w:t>
      </w:r>
      <w:r>
        <w:t>s</w:t>
      </w:r>
      <w:r w:rsidRPr="00E50221">
        <w:t xml:space="preserve">. </w:t>
      </w:r>
    </w:p>
    <w:p w:rsidR="00E50221" w:rsidRDefault="00FD3450" w:rsidP="00E50221">
      <w:pPr>
        <w:pStyle w:val="NeAdnumber-level1"/>
      </w:pPr>
      <w:r w:rsidRPr="00FD3450">
        <w:t>Escalation procedures should therefore define the roles of various stakeholders: the responsible business units, the risk management function, senior management and its management committees (</w:t>
      </w:r>
      <w:r w:rsidR="00373BD9">
        <w:t>e.g.</w:t>
      </w:r>
      <w:r w:rsidRPr="00FD3450">
        <w:t xml:space="preserve"> the management risk committee, the ALCO/capital committee or specific product committees) and, </w:t>
      </w:r>
      <w:r w:rsidR="00373BD9">
        <w:t>regarding</w:t>
      </w:r>
      <w:r w:rsidRPr="00FD3450">
        <w:t xml:space="preserve"> higher RAS levels, the MgmtB, the SBRC</w:t>
      </w:r>
      <w:r w:rsidR="00373BD9">
        <w:t>,</w:t>
      </w:r>
      <w:r w:rsidRPr="00FD3450">
        <w:t xml:space="preserve"> and the SB</w:t>
      </w:r>
      <w:r w:rsidR="00373BD9">
        <w:t>.</w:t>
      </w:r>
    </w:p>
    <w:p w:rsidR="005C2792" w:rsidRPr="00A959A2" w:rsidRDefault="005C2792" w:rsidP="005C2792">
      <w:pPr>
        <w:pStyle w:val="NeAdnumber-level1"/>
      </w:pPr>
      <w:r w:rsidRPr="00A959A2">
        <w:t>Escalation in the case of limit breach</w:t>
      </w:r>
      <w:r>
        <w:t>es</w:t>
      </w:r>
      <w:r w:rsidRPr="00A959A2">
        <w:t xml:space="preserve"> will </w:t>
      </w:r>
      <w:r w:rsidR="006D77DD">
        <w:t xml:space="preserve">depend on strictly defined escalation procedures and will </w:t>
      </w:r>
      <w:r w:rsidRPr="00A959A2">
        <w:t>almost always includ</w:t>
      </w:r>
      <w:r w:rsidR="007D45C9">
        <w:t>e</w:t>
      </w:r>
      <w:r w:rsidRPr="00A959A2">
        <w:t xml:space="preserve"> </w:t>
      </w:r>
      <w:r>
        <w:t>the risk management</w:t>
      </w:r>
      <w:r w:rsidRPr="00A959A2">
        <w:t xml:space="preserve"> function at a senior level</w:t>
      </w:r>
      <w:r w:rsidR="00DC37C4">
        <w:t xml:space="preserve">. </w:t>
      </w:r>
    </w:p>
    <w:p w:rsidR="005C2792" w:rsidRPr="00595D95" w:rsidRDefault="005C2792" w:rsidP="005C2792">
      <w:pPr>
        <w:pStyle w:val="NeAdnumber-level1"/>
      </w:pPr>
      <w:r w:rsidRPr="00595D95">
        <w:t xml:space="preserve">Regarding the breach of portfolio thresholds, there is no immediate constraint on individual transactions when a threshold is reached. Escalation consists </w:t>
      </w:r>
      <w:r w:rsidR="007D45C9">
        <w:t>of</w:t>
      </w:r>
      <w:r w:rsidRPr="00595D95">
        <w:t xml:space="preserve"> “raising the flag” to senior management and, as required, the SBRC and the SB. However, the reporting of a threshold breach should lead to remedial action, which might consist </w:t>
      </w:r>
      <w:r w:rsidR="007D45C9">
        <w:t>of</w:t>
      </w:r>
      <w:r w:rsidRPr="00595D95">
        <w:t xml:space="preserve"> raising the limits for the particular product/credit category</w:t>
      </w:r>
      <w:r w:rsidR="0067191B">
        <w:t xml:space="preserve"> (please see the example of Bank </w:t>
      </w:r>
      <w:r w:rsidR="00FE15D6">
        <w:t>F</w:t>
      </w:r>
      <w:r w:rsidR="0067191B">
        <w:t xml:space="preserve"> </w:t>
      </w:r>
      <w:r w:rsidR="006D77DD">
        <w:t>in Case Box 6</w:t>
      </w:r>
      <w:r w:rsidR="00FE15D6">
        <w:t xml:space="preserve"> above</w:t>
      </w:r>
      <w:r w:rsidR="0067191B">
        <w:t>)</w:t>
      </w:r>
      <w:r w:rsidRPr="00595D95">
        <w:t xml:space="preserve">. Also, it is important for banks to document the causes of threshold breaches and the </w:t>
      </w:r>
      <w:r w:rsidR="007D45C9" w:rsidRPr="00595D95">
        <w:t>r</w:t>
      </w:r>
      <w:r w:rsidR="007D45C9">
        <w:t>ationale</w:t>
      </w:r>
      <w:r w:rsidR="007D45C9" w:rsidRPr="00595D95">
        <w:t xml:space="preserve"> </w:t>
      </w:r>
      <w:r w:rsidRPr="00595D95">
        <w:t>behind any remedial action taken as a result.</w:t>
      </w:r>
    </w:p>
    <w:p w:rsidR="008B6E5C" w:rsidRDefault="008B6E5C" w:rsidP="008B6E5C">
      <w:pPr>
        <w:pStyle w:val="NeAdnumber-level1"/>
      </w:pPr>
      <w:r w:rsidRPr="008B6E5C">
        <w:t>It should also be noted that the bank’s leadership, including the SB and MgmtB, need to be aware of how the lower level escalation procedures are structured, in order to be able to monitor the application of the whole RAF throughout the bank.</w:t>
      </w:r>
    </w:p>
    <w:p w:rsidR="00A470F5" w:rsidRDefault="00A470F5" w:rsidP="00A470F5">
      <w:pPr>
        <w:pStyle w:val="NeAdnumber-level1"/>
      </w:pPr>
      <w:r w:rsidRPr="00AF00F2">
        <w:t xml:space="preserve">Regarding the monitoring of potential breaches, </w:t>
      </w:r>
      <w:r>
        <w:t>international supervisors</w:t>
      </w:r>
      <w:r>
        <w:rPr>
          <w:rStyle w:val="Sprotnaopomba-sklic"/>
        </w:rPr>
        <w:footnoteReference w:id="29"/>
      </w:r>
      <w:r>
        <w:t xml:space="preserve"> </w:t>
      </w:r>
      <w:r w:rsidRPr="00AF00F2">
        <w:t>emphasise the essential role of an effective MIS.</w:t>
      </w:r>
    </w:p>
    <w:tbl>
      <w:tblPr>
        <w:tblStyle w:val="Tabelamrea"/>
        <w:tblW w:w="0" w:type="auto"/>
        <w:tblInd w:w="1413" w:type="dxa"/>
        <w:shd w:val="clear" w:color="auto" w:fill="D9D9D9" w:themeFill="background1" w:themeFillShade="D9"/>
        <w:tblLook w:val="04A0" w:firstRow="1" w:lastRow="0" w:firstColumn="1" w:lastColumn="0" w:noHBand="0" w:noVBand="1"/>
      </w:tblPr>
      <w:tblGrid>
        <w:gridCol w:w="7082"/>
      </w:tblGrid>
      <w:tr w:rsidR="00A470F5" w:rsidTr="001C400A">
        <w:trPr>
          <w:trHeight w:val="1809"/>
        </w:trPr>
        <w:tc>
          <w:tcPr>
            <w:tcW w:w="7082" w:type="dxa"/>
            <w:shd w:val="clear" w:color="auto" w:fill="D9D9D9" w:themeFill="background1" w:themeFillShade="D9"/>
          </w:tcPr>
          <w:p w:rsidR="00A470F5" w:rsidRPr="009215C5" w:rsidRDefault="00A470F5" w:rsidP="00250A41">
            <w:pPr>
              <w:pStyle w:val="NeAdnumber-level1"/>
              <w:numPr>
                <w:ilvl w:val="0"/>
                <w:numId w:val="0"/>
              </w:numPr>
              <w:rPr>
                <w:i/>
              </w:rPr>
            </w:pPr>
            <w:r w:rsidRPr="009215C5">
              <w:rPr>
                <w:i/>
              </w:rPr>
              <w:t>“</w:t>
            </w:r>
            <w:r>
              <w:rPr>
                <w:i/>
              </w:rPr>
              <w:t>A</w:t>
            </w:r>
            <w:r w:rsidRPr="00E90D56">
              <w:rPr>
                <w:i/>
              </w:rPr>
              <w:t>n effective and efficient RAF should be closely linked to the development of information technology (IT) and management information systems (MIS) in financial institutions</w:t>
            </w:r>
            <w:r w:rsidRPr="009215C5">
              <w:rPr>
                <w:i/>
              </w:rPr>
              <w:t>.”</w:t>
            </w:r>
          </w:p>
          <w:p w:rsidR="00A470F5" w:rsidRPr="00DF5C94" w:rsidRDefault="00A470F5" w:rsidP="00E25174">
            <w:pPr>
              <w:pStyle w:val="NeAdnumber-level1"/>
              <w:numPr>
                <w:ilvl w:val="0"/>
                <w:numId w:val="7"/>
              </w:numPr>
              <w:jc w:val="right"/>
              <w:rPr>
                <w:b/>
              </w:rPr>
            </w:pPr>
            <w:r>
              <w:rPr>
                <w:b/>
                <w:i/>
              </w:rPr>
              <w:t>FSB Principles for An Effective Risk Appetite Framework</w:t>
            </w:r>
          </w:p>
        </w:tc>
      </w:tr>
    </w:tbl>
    <w:p w:rsidR="006B4E72" w:rsidRDefault="006B4E72" w:rsidP="006B4E72">
      <w:pPr>
        <w:pStyle w:val="NeAdnumber-level1"/>
      </w:pPr>
      <w:r>
        <w:t xml:space="preserve">In addition to the RAP thresholds and limits set out above, banks should also focus on </w:t>
      </w:r>
      <w:r w:rsidRPr="00EF1A09">
        <w:rPr>
          <w:i/>
        </w:rPr>
        <w:t>early warning triggers</w:t>
      </w:r>
      <w:r>
        <w:rPr>
          <w:i/>
        </w:rPr>
        <w:t xml:space="preserve">, </w:t>
      </w:r>
      <w:r w:rsidRPr="00245696">
        <w:t>set at lower levels than those of a threshold</w:t>
      </w:r>
      <w:r>
        <w:t>,</w:t>
      </w:r>
      <w:r w:rsidRPr="00245696">
        <w:t xml:space="preserve"> so that senior management and, as required, the SBRC have ample time to reflect </w:t>
      </w:r>
      <w:r w:rsidR="00F5703A">
        <w:t>up</w:t>
      </w:r>
      <w:r w:rsidRPr="00245696">
        <w:t>on remedial action and the adjustment of the business plan</w:t>
      </w:r>
      <w:r>
        <w:rPr>
          <w:i/>
        </w:rPr>
        <w:t>.</w:t>
      </w:r>
      <w:r>
        <w:rPr>
          <w:rStyle w:val="Sprotnaopomba-sklic"/>
        </w:rPr>
        <w:footnoteReference w:id="30"/>
      </w:r>
    </w:p>
    <w:p w:rsidR="006B4E72" w:rsidRDefault="006B4E72" w:rsidP="00C50ED6">
      <w:pPr>
        <w:pStyle w:val="NeAdnumber-level1"/>
      </w:pPr>
      <w:r>
        <w:t xml:space="preserve">A related </w:t>
      </w:r>
      <w:r w:rsidR="00F5703A">
        <w:t xml:space="preserve">matter </w:t>
      </w:r>
      <w:r>
        <w:t xml:space="preserve">that has received increasing attention from supervisors is the consideration of RAF metrics when launching new banking products. Banks need to measure the risk sensitivity of new services and consider the impact on their overall risk profile. Generally speaking, each product </w:t>
      </w:r>
      <w:r w:rsidR="001517FC">
        <w:t xml:space="preserve">delivered to each customer segment </w:t>
      </w:r>
      <w:r>
        <w:t>should have its own risk appetite set on an ex ante basis.</w:t>
      </w:r>
    </w:p>
    <w:p w:rsidR="00415562" w:rsidRDefault="005944B4" w:rsidP="005F113F">
      <w:pPr>
        <w:pStyle w:val="NeAdH3"/>
        <w:keepNext/>
      </w:pPr>
      <w:bookmarkStart w:id="29" w:name="_Toc510622702"/>
      <w:r>
        <w:t xml:space="preserve">Embedding: </w:t>
      </w:r>
      <w:r w:rsidR="00415562">
        <w:t>Communication, Training, and Risk Culture</w:t>
      </w:r>
      <w:bookmarkEnd w:id="29"/>
    </w:p>
    <w:p w:rsidR="00220958" w:rsidRDefault="005E2523" w:rsidP="005F113F">
      <w:pPr>
        <w:pStyle w:val="NeAdH42"/>
        <w:keepNext/>
      </w:pPr>
      <w:r>
        <w:t>Recommendations</w:t>
      </w:r>
    </w:p>
    <w:tbl>
      <w:tblPr>
        <w:tblStyle w:val="Tabelamrea"/>
        <w:tblW w:w="0" w:type="auto"/>
        <w:tblInd w:w="-147" w:type="dxa"/>
        <w:tblLook w:val="04A0" w:firstRow="1" w:lastRow="0" w:firstColumn="1" w:lastColumn="0" w:noHBand="0" w:noVBand="1"/>
      </w:tblPr>
      <w:tblGrid>
        <w:gridCol w:w="8642"/>
      </w:tblGrid>
      <w:tr w:rsidR="005E2523" w:rsidTr="005124D6">
        <w:trPr>
          <w:trHeight w:val="1594"/>
        </w:trPr>
        <w:tc>
          <w:tcPr>
            <w:tcW w:w="8642" w:type="dxa"/>
            <w:shd w:val="clear" w:color="auto" w:fill="B4C6E7" w:themeFill="accent1" w:themeFillTint="66"/>
          </w:tcPr>
          <w:p w:rsidR="00D25B0D" w:rsidRPr="00D25B0D" w:rsidRDefault="00D25B0D" w:rsidP="005F113F">
            <w:pPr>
              <w:pStyle w:val="NeAdnumber-level1"/>
              <w:keepNext/>
              <w:numPr>
                <w:ilvl w:val="0"/>
                <w:numId w:val="0"/>
              </w:numPr>
              <w:rPr>
                <w:i/>
              </w:rPr>
            </w:pPr>
            <w:r w:rsidRPr="00D25B0D">
              <w:rPr>
                <w:i/>
              </w:rPr>
              <w:t>2</w:t>
            </w:r>
            <w:r w:rsidR="00A42957">
              <w:rPr>
                <w:i/>
              </w:rPr>
              <w:t>0</w:t>
            </w:r>
            <w:r w:rsidRPr="00D25B0D">
              <w:rPr>
                <w:i/>
              </w:rPr>
              <w:t xml:space="preserve">. </w:t>
            </w:r>
            <w:r w:rsidR="00420CAA">
              <w:rPr>
                <w:i/>
              </w:rPr>
              <w:t>The b</w:t>
            </w:r>
            <w:r w:rsidRPr="00D25B0D">
              <w:rPr>
                <w:i/>
              </w:rPr>
              <w:t xml:space="preserve">ank should </w:t>
            </w:r>
            <w:r w:rsidRPr="00FF3002">
              <w:rPr>
                <w:b/>
                <w:i/>
              </w:rPr>
              <w:t>actively engage</w:t>
            </w:r>
            <w:r w:rsidRPr="00D25B0D">
              <w:rPr>
                <w:i/>
              </w:rPr>
              <w:t xml:space="preserve"> with </w:t>
            </w:r>
            <w:r w:rsidR="0010796C">
              <w:rPr>
                <w:i/>
              </w:rPr>
              <w:t>its</w:t>
            </w:r>
            <w:r w:rsidRPr="00D25B0D">
              <w:rPr>
                <w:i/>
              </w:rPr>
              <w:t xml:space="preserve"> staff on RAP related issues, while respecting</w:t>
            </w:r>
            <w:r>
              <w:rPr>
                <w:i/>
              </w:rPr>
              <w:t xml:space="preserve"> </w:t>
            </w:r>
            <w:r w:rsidRPr="00D25B0D">
              <w:rPr>
                <w:i/>
              </w:rPr>
              <w:t>confidentiality of certain RAS thresholds.</w:t>
            </w:r>
          </w:p>
          <w:p w:rsidR="005E2523" w:rsidRPr="000D691B" w:rsidRDefault="00D25B0D" w:rsidP="005F113F">
            <w:pPr>
              <w:pStyle w:val="NeAdnumber-level1"/>
              <w:keepNext/>
              <w:numPr>
                <w:ilvl w:val="0"/>
                <w:numId w:val="0"/>
              </w:numPr>
              <w:rPr>
                <w:i/>
              </w:rPr>
            </w:pPr>
            <w:r w:rsidRPr="00D25B0D">
              <w:rPr>
                <w:i/>
              </w:rPr>
              <w:t>2</w:t>
            </w:r>
            <w:r w:rsidR="00A42957">
              <w:rPr>
                <w:i/>
              </w:rPr>
              <w:t>1</w:t>
            </w:r>
            <w:r w:rsidRPr="00D25B0D">
              <w:rPr>
                <w:i/>
              </w:rPr>
              <w:t>.</w:t>
            </w:r>
            <w:r w:rsidR="00C1398A">
              <w:rPr>
                <w:i/>
              </w:rPr>
              <w:t xml:space="preserve"> </w:t>
            </w:r>
            <w:r w:rsidRPr="00D25B0D">
              <w:rPr>
                <w:i/>
              </w:rPr>
              <w:t xml:space="preserve">Business units should be </w:t>
            </w:r>
            <w:r w:rsidRPr="00D25B0D">
              <w:rPr>
                <w:b/>
                <w:i/>
              </w:rPr>
              <w:t xml:space="preserve">trained on the RAF, its implementation and </w:t>
            </w:r>
            <w:r>
              <w:rPr>
                <w:b/>
                <w:i/>
              </w:rPr>
              <w:t>functioning</w:t>
            </w:r>
            <w:r w:rsidRPr="00D25B0D">
              <w:rPr>
                <w:i/>
              </w:rPr>
              <w:t>.</w:t>
            </w:r>
          </w:p>
        </w:tc>
      </w:tr>
    </w:tbl>
    <w:p w:rsidR="00622532" w:rsidRDefault="00220958" w:rsidP="00A84528">
      <w:pPr>
        <w:pStyle w:val="NeAdH42"/>
        <w:keepNext/>
      </w:pPr>
      <w:r>
        <w:t>Detailed Guidance</w:t>
      </w:r>
    </w:p>
    <w:p w:rsidR="00C00147" w:rsidRDefault="00A4592C" w:rsidP="00A84528">
      <w:pPr>
        <w:pStyle w:val="NeAdnumber-level1"/>
        <w:keepNext/>
      </w:pPr>
      <w:r>
        <w:t>F</w:t>
      </w:r>
      <w:r w:rsidR="00C00147">
        <w:t xml:space="preserve">or </w:t>
      </w:r>
      <w:r w:rsidR="00D25B0F">
        <w:t xml:space="preserve">the </w:t>
      </w:r>
      <w:r w:rsidR="00C00147">
        <w:t xml:space="preserve">RAF to become an effective part of </w:t>
      </w:r>
      <w:r w:rsidR="00D25B0F">
        <w:t xml:space="preserve">a bank’s </w:t>
      </w:r>
      <w:r w:rsidR="00C00147">
        <w:t xml:space="preserve">overall strategy and risk management, </w:t>
      </w:r>
      <w:r w:rsidR="00D25B0F">
        <w:t xml:space="preserve">the bank needs to </w:t>
      </w:r>
      <w:r w:rsidR="00D25B0F" w:rsidRPr="00D25B0F">
        <w:t>foster</w:t>
      </w:r>
      <w:r w:rsidR="00D25B0F">
        <w:t xml:space="preserve"> </w:t>
      </w:r>
      <w:r w:rsidR="00D25B0F" w:rsidRPr="00D25B0F">
        <w:t>a mind-set and</w:t>
      </w:r>
      <w:r w:rsidR="00D25B0F">
        <w:t xml:space="preserve"> </w:t>
      </w:r>
      <w:r w:rsidR="00D25B0F" w:rsidRPr="00D25B0F">
        <w:t>culture of risk awareness and challenge</w:t>
      </w:r>
      <w:r w:rsidR="00D25B0F">
        <w:t xml:space="preserve">. To this end, the RAF’s </w:t>
      </w:r>
      <w:r w:rsidR="00C00147">
        <w:t xml:space="preserve">importance and goals must be actively communicated to all relevant stakeholders across the </w:t>
      </w:r>
      <w:r w:rsidR="00094B25">
        <w:t>bank</w:t>
      </w:r>
      <w:r>
        <w:t>:</w:t>
      </w:r>
    </w:p>
    <w:tbl>
      <w:tblPr>
        <w:tblStyle w:val="Tabelamrea"/>
        <w:tblW w:w="0" w:type="auto"/>
        <w:tblInd w:w="1413" w:type="dxa"/>
        <w:tblLook w:val="04A0" w:firstRow="1" w:lastRow="0" w:firstColumn="1" w:lastColumn="0" w:noHBand="0" w:noVBand="1"/>
      </w:tblPr>
      <w:tblGrid>
        <w:gridCol w:w="7082"/>
      </w:tblGrid>
      <w:tr w:rsidR="00C00147" w:rsidTr="00C66C90">
        <w:trPr>
          <w:trHeight w:val="1809"/>
        </w:trPr>
        <w:tc>
          <w:tcPr>
            <w:tcW w:w="7082" w:type="dxa"/>
            <w:shd w:val="clear" w:color="auto" w:fill="D9D9D9" w:themeFill="background1" w:themeFillShade="D9"/>
          </w:tcPr>
          <w:p w:rsidR="00C00147" w:rsidRPr="009215C5" w:rsidRDefault="00C00147" w:rsidP="00250A41">
            <w:pPr>
              <w:pStyle w:val="NeAdnumber-level1"/>
              <w:numPr>
                <w:ilvl w:val="0"/>
                <w:numId w:val="0"/>
              </w:numPr>
              <w:rPr>
                <w:i/>
              </w:rPr>
            </w:pPr>
            <w:r w:rsidRPr="009215C5">
              <w:rPr>
                <w:i/>
              </w:rPr>
              <w:t>“</w:t>
            </w:r>
            <w:r w:rsidRPr="00C33A85">
              <w:rPr>
                <w:i/>
              </w:rPr>
              <w:t xml:space="preserve">Financial institutions that implement a RAF most effectively are those that </w:t>
            </w:r>
            <w:r>
              <w:rPr>
                <w:i/>
              </w:rPr>
              <w:t>(…)</w:t>
            </w:r>
            <w:r w:rsidRPr="00C33A85">
              <w:rPr>
                <w:i/>
              </w:rPr>
              <w:t xml:space="preserve"> communicate and promote the framework throughout the organisation, starting from the top</w:t>
            </w:r>
            <w:r w:rsidRPr="009215C5">
              <w:rPr>
                <w:i/>
              </w:rPr>
              <w:t>.”</w:t>
            </w:r>
          </w:p>
          <w:p w:rsidR="00C00147" w:rsidRPr="00DF5C94" w:rsidRDefault="00C00147" w:rsidP="00E25174">
            <w:pPr>
              <w:pStyle w:val="NeAdnumber-level1"/>
              <w:numPr>
                <w:ilvl w:val="0"/>
                <w:numId w:val="7"/>
              </w:numPr>
              <w:jc w:val="right"/>
              <w:rPr>
                <w:b/>
              </w:rPr>
            </w:pPr>
            <w:r>
              <w:rPr>
                <w:b/>
                <w:i/>
              </w:rPr>
              <w:t>FSB Principles for An Effective Risk Appetite Framework</w:t>
            </w:r>
          </w:p>
        </w:tc>
      </w:tr>
      <w:tr w:rsidR="00C00147" w:rsidTr="00C66C90">
        <w:trPr>
          <w:trHeight w:val="1809"/>
        </w:trPr>
        <w:tc>
          <w:tcPr>
            <w:tcW w:w="7082" w:type="dxa"/>
            <w:shd w:val="clear" w:color="auto" w:fill="D9D9D9" w:themeFill="background1" w:themeFillShade="D9"/>
          </w:tcPr>
          <w:p w:rsidR="00C00147" w:rsidRDefault="00C00147" w:rsidP="00250A41">
            <w:pPr>
              <w:pStyle w:val="NeAdnumber-level1"/>
              <w:numPr>
                <w:ilvl w:val="0"/>
                <w:numId w:val="0"/>
              </w:numPr>
              <w:rPr>
                <w:i/>
              </w:rPr>
            </w:pPr>
            <w:r>
              <w:rPr>
                <w:i/>
              </w:rPr>
              <w:t>“T</w:t>
            </w:r>
            <w:r w:rsidRPr="002C4ECA">
              <w:rPr>
                <w:i/>
              </w:rPr>
              <w:t>he institution should have in place a process of communication with its employees in order to explain to them how their job affects the risk appetite of the bank.</w:t>
            </w:r>
            <w:r>
              <w:rPr>
                <w:i/>
              </w:rPr>
              <w:t>”</w:t>
            </w:r>
          </w:p>
          <w:p w:rsidR="00C00147" w:rsidRPr="002C3D08" w:rsidRDefault="00C00147" w:rsidP="00E25174">
            <w:pPr>
              <w:pStyle w:val="Odstavekseznama"/>
              <w:numPr>
                <w:ilvl w:val="0"/>
                <w:numId w:val="7"/>
              </w:numPr>
              <w:jc w:val="right"/>
              <w:rPr>
                <w:rFonts w:asciiTheme="minorHAnsi" w:hAnsiTheme="minorHAnsi"/>
              </w:rPr>
            </w:pPr>
            <w:r>
              <w:rPr>
                <w:rFonts w:asciiTheme="minorHAnsi" w:hAnsiTheme="minorHAnsi"/>
                <w:b/>
                <w:i/>
                <w:sz w:val="22"/>
              </w:rPr>
              <w:t>SSM Supervisory Statement</w:t>
            </w:r>
          </w:p>
        </w:tc>
      </w:tr>
    </w:tbl>
    <w:p w:rsidR="00530820" w:rsidRDefault="00682221" w:rsidP="00682221">
      <w:pPr>
        <w:pStyle w:val="NeAdnumber-level1"/>
      </w:pPr>
      <w:r>
        <w:t>Actively engaging with employees on RAP issues enables management to develop their understanding of the RAF and to foster risk awareness. It also helps develop and steer an organisation’s risk culture through the definition of a common language and common attitudes related to RAP. Both the FSB</w:t>
      </w:r>
      <w:r>
        <w:rPr>
          <w:rStyle w:val="Sprotnaopomba-sklic"/>
        </w:rPr>
        <w:footnoteReference w:id="31"/>
      </w:r>
      <w:r>
        <w:t xml:space="preserve"> and the SSM</w:t>
      </w:r>
      <w:r>
        <w:rPr>
          <w:rStyle w:val="Sprotnaopomba-sklic"/>
        </w:rPr>
        <w:footnoteReference w:id="32"/>
      </w:r>
      <w:r>
        <w:t xml:space="preserve"> explicitly recognise the important role of an effective RAF in promoting a strong risk culture:</w:t>
      </w:r>
    </w:p>
    <w:p w:rsidR="00530820" w:rsidRDefault="00530820">
      <w:pPr>
        <w:rPr>
          <w:rFonts w:ascii="Calibri" w:hAnsi="Calibri" w:cs="Arial"/>
          <w:sz w:val="22"/>
          <w:szCs w:val="22"/>
        </w:rPr>
      </w:pPr>
      <w:r>
        <w:br w:type="page"/>
      </w:r>
    </w:p>
    <w:tbl>
      <w:tblPr>
        <w:tblStyle w:val="Tabelamrea"/>
        <w:tblW w:w="0" w:type="auto"/>
        <w:tblInd w:w="1413" w:type="dxa"/>
        <w:tblLook w:val="04A0" w:firstRow="1" w:lastRow="0" w:firstColumn="1" w:lastColumn="0" w:noHBand="0" w:noVBand="1"/>
      </w:tblPr>
      <w:tblGrid>
        <w:gridCol w:w="7082"/>
      </w:tblGrid>
      <w:tr w:rsidR="00682221" w:rsidTr="003B3810">
        <w:trPr>
          <w:trHeight w:val="699"/>
        </w:trPr>
        <w:tc>
          <w:tcPr>
            <w:tcW w:w="7082" w:type="dxa"/>
            <w:shd w:val="clear" w:color="auto" w:fill="D9D9D9" w:themeFill="background1" w:themeFillShade="D9"/>
          </w:tcPr>
          <w:p w:rsidR="00682221" w:rsidRPr="009215C5" w:rsidRDefault="00682221" w:rsidP="0076766E">
            <w:pPr>
              <w:pStyle w:val="NeAdnumber-level1"/>
              <w:numPr>
                <w:ilvl w:val="0"/>
                <w:numId w:val="0"/>
              </w:numPr>
              <w:rPr>
                <w:i/>
              </w:rPr>
            </w:pPr>
            <w:r w:rsidRPr="009215C5">
              <w:rPr>
                <w:i/>
              </w:rPr>
              <w:t>“</w:t>
            </w:r>
            <w:r w:rsidRPr="000557CC">
              <w:rPr>
                <w:i/>
              </w:rPr>
              <w:t>Establishing an effective RAF helps to reinforce a strong risk culture at financial institutions, which in turn is critical to sound risk management. A sound risk culture will provide an environment that is conducive to ensuring that emerging risks that will have material impact on an</w:t>
            </w:r>
            <w:r>
              <w:rPr>
                <w:i/>
              </w:rPr>
              <w:t xml:space="preserve"> </w:t>
            </w:r>
            <w:r w:rsidRPr="00655F13">
              <w:rPr>
                <w:i/>
              </w:rPr>
              <w:t>institution, and any risk-taking activities beyond the institution’s risk appetite, are recognised, escalated, and addressed in a timely manner</w:t>
            </w:r>
            <w:r w:rsidRPr="009215C5">
              <w:rPr>
                <w:i/>
              </w:rPr>
              <w:t>.”</w:t>
            </w:r>
          </w:p>
          <w:p w:rsidR="00682221" w:rsidRPr="00DF5C94" w:rsidRDefault="00682221" w:rsidP="0076766E">
            <w:pPr>
              <w:pStyle w:val="NeAdnumber-level1"/>
              <w:numPr>
                <w:ilvl w:val="0"/>
                <w:numId w:val="7"/>
              </w:numPr>
              <w:jc w:val="right"/>
              <w:rPr>
                <w:b/>
              </w:rPr>
            </w:pPr>
            <w:r>
              <w:rPr>
                <w:b/>
                <w:i/>
              </w:rPr>
              <w:t>FSB Principles for An Effective Risk Appetite Framework</w:t>
            </w:r>
          </w:p>
        </w:tc>
      </w:tr>
    </w:tbl>
    <w:p w:rsidR="00C00147" w:rsidRDefault="002B5D97" w:rsidP="002B5D97">
      <w:pPr>
        <w:pStyle w:val="NeAdnumber-level1"/>
      </w:pPr>
      <w:r>
        <w:t>B</w:t>
      </w:r>
      <w:r w:rsidR="00C00147">
        <w:t xml:space="preserve">anks </w:t>
      </w:r>
      <w:r w:rsidR="002D17F7">
        <w:t>should</w:t>
      </w:r>
      <w:r w:rsidR="00C00147">
        <w:t xml:space="preserve"> develop training programmes on </w:t>
      </w:r>
      <w:r w:rsidR="00CA651B">
        <w:t>RAP</w:t>
      </w:r>
      <w:r w:rsidR="002D17F7">
        <w:t xml:space="preserve"> and the way </w:t>
      </w:r>
      <w:r w:rsidR="004271E6">
        <w:t xml:space="preserve">in which </w:t>
      </w:r>
      <w:r w:rsidR="002D17F7">
        <w:t xml:space="preserve">the RAF works </w:t>
      </w:r>
      <w:r w:rsidR="00B4139C">
        <w:t>across</w:t>
      </w:r>
      <w:r w:rsidR="002D17F7">
        <w:t xml:space="preserve"> the group</w:t>
      </w:r>
      <w:r w:rsidR="001517FC">
        <w:t>, both for risk specialists and lines of business</w:t>
      </w:r>
      <w:r w:rsidR="002D17F7">
        <w:t>.</w:t>
      </w:r>
      <w:r w:rsidR="00C00147">
        <w:t xml:space="preserve"> We believe that this can go a long way towards embedding the RAF within the organisation and facilitating buy-in from business units that are directly affected by the </w:t>
      </w:r>
      <w:r w:rsidR="00CA651B">
        <w:t>RAP</w:t>
      </w:r>
      <w:r w:rsidR="00C00147">
        <w:t xml:space="preserve"> limit system. It is also important for banks to communicate explicitly to the managers of individual business units or entities how RAFs will impact their daily decision making.</w:t>
      </w:r>
    </w:p>
    <w:p w:rsidR="00B72CBB" w:rsidRDefault="00B72CBB" w:rsidP="00B72CBB">
      <w:pPr>
        <w:pStyle w:val="NeAdnumber-level1"/>
      </w:pPr>
      <w:r>
        <w:t>Trainings and other forms of embedding activities such as employee surveys on particular RAP aspects (e.g. compliance risk and the controls build around it</w:t>
      </w:r>
      <w:r w:rsidR="00210135">
        <w:t>)</w:t>
      </w:r>
      <w:r>
        <w:t xml:space="preserve"> also allow management to solicit bottom-up inputs that can be used in reviewing the adequacy of existing RAF thresholds and limits.</w:t>
      </w:r>
    </w:p>
    <w:p w:rsidR="008F698D" w:rsidRDefault="0018559F" w:rsidP="0076428F">
      <w:pPr>
        <w:pStyle w:val="NeAdnumber-level1"/>
      </w:pPr>
      <w:r>
        <w:t>It should also be noted that there need to be certain restrictions regarding the communication of the RAF and RAS across the bank. Conducting training on the usage of RAFs as outlined above does not mean that the RAS, which contains very sensitive strategic information, needs to be fully disclosed and communicated in detail to all staff members. Banks need to be mindful of the confidentiality of certain RAS elements, especially regarding the high-level RAP thresholds. The information communicated to business lines and units should be granular enough to allow for effective usage of the RAF, while respecting the need for confidentiality that is required in certain RAS areas.</w:t>
      </w:r>
    </w:p>
    <w:tbl>
      <w:tblPr>
        <w:tblStyle w:val="Tabelamrea"/>
        <w:tblW w:w="0" w:type="auto"/>
        <w:tblInd w:w="-147" w:type="dxa"/>
        <w:tblLook w:val="04A0" w:firstRow="1" w:lastRow="0" w:firstColumn="1" w:lastColumn="0" w:noHBand="0" w:noVBand="1"/>
      </w:tblPr>
      <w:tblGrid>
        <w:gridCol w:w="8642"/>
      </w:tblGrid>
      <w:tr w:rsidR="00077303" w:rsidTr="0076766E">
        <w:trPr>
          <w:trHeight w:val="1809"/>
        </w:trPr>
        <w:tc>
          <w:tcPr>
            <w:tcW w:w="8642" w:type="dxa"/>
            <w:shd w:val="clear" w:color="auto" w:fill="F7CAAC" w:themeFill="accent2" w:themeFillTint="66"/>
          </w:tcPr>
          <w:p w:rsidR="00DE5740" w:rsidRPr="00DE5740" w:rsidRDefault="00DE5740" w:rsidP="0076766E">
            <w:pPr>
              <w:pStyle w:val="NeAdnumber-level1"/>
              <w:keepNext/>
              <w:numPr>
                <w:ilvl w:val="0"/>
                <w:numId w:val="0"/>
              </w:numPr>
              <w:rPr>
                <w:b/>
              </w:rPr>
            </w:pPr>
            <w:r w:rsidRPr="00DE5740">
              <w:rPr>
                <w:b/>
              </w:rPr>
              <w:t xml:space="preserve">Case Box </w:t>
            </w:r>
            <w:r w:rsidR="00247961">
              <w:rPr>
                <w:b/>
              </w:rPr>
              <w:t>7</w:t>
            </w:r>
          </w:p>
          <w:p w:rsidR="00DD2DBC" w:rsidRDefault="00077303" w:rsidP="0076766E">
            <w:pPr>
              <w:pStyle w:val="NeAdnumber-level1"/>
              <w:keepNext/>
              <w:numPr>
                <w:ilvl w:val="0"/>
                <w:numId w:val="0"/>
              </w:numPr>
              <w:rPr>
                <w:i/>
              </w:rPr>
            </w:pPr>
            <w:r>
              <w:rPr>
                <w:i/>
              </w:rPr>
              <w:t>Under the initiative of the CRO, t</w:t>
            </w:r>
            <w:r w:rsidRPr="004C5ADF">
              <w:rPr>
                <w:i/>
              </w:rPr>
              <w:t xml:space="preserve">he risk management function </w:t>
            </w:r>
            <w:r>
              <w:rPr>
                <w:i/>
              </w:rPr>
              <w:t>of B</w:t>
            </w:r>
            <w:r w:rsidRPr="00D67A89">
              <w:rPr>
                <w:i/>
              </w:rPr>
              <w:t xml:space="preserve">ank </w:t>
            </w:r>
            <w:r w:rsidR="001D7E37">
              <w:rPr>
                <w:i/>
              </w:rPr>
              <w:t>G</w:t>
            </w:r>
            <w:r>
              <w:rPr>
                <w:i/>
              </w:rPr>
              <w:t xml:space="preserve"> has presented</w:t>
            </w:r>
            <w:r w:rsidRPr="00424426">
              <w:rPr>
                <w:i/>
              </w:rPr>
              <w:t xml:space="preserve"> the institution-wide RAS</w:t>
            </w:r>
            <w:r>
              <w:rPr>
                <w:i/>
              </w:rPr>
              <w:t xml:space="preserve"> (the first of its kind)</w:t>
            </w:r>
            <w:r w:rsidRPr="00424426">
              <w:rPr>
                <w:i/>
              </w:rPr>
              <w:t xml:space="preserve"> to a wider audience</w:t>
            </w:r>
            <w:r>
              <w:rPr>
                <w:i/>
              </w:rPr>
              <w:t xml:space="preserve"> of employees</w:t>
            </w:r>
            <w:r w:rsidRPr="00424426">
              <w:rPr>
                <w:i/>
              </w:rPr>
              <w:t xml:space="preserve">, including </w:t>
            </w:r>
            <w:r>
              <w:rPr>
                <w:i/>
              </w:rPr>
              <w:t xml:space="preserve">senior management, </w:t>
            </w:r>
            <w:r w:rsidRPr="00424426">
              <w:rPr>
                <w:i/>
              </w:rPr>
              <w:t>middle office units</w:t>
            </w:r>
            <w:r>
              <w:rPr>
                <w:i/>
              </w:rPr>
              <w:t>,</w:t>
            </w:r>
            <w:r w:rsidRPr="00424426">
              <w:rPr>
                <w:i/>
              </w:rPr>
              <w:t xml:space="preserve"> and specific sectors teams. </w:t>
            </w:r>
            <w:r>
              <w:rPr>
                <w:i/>
              </w:rPr>
              <w:t xml:space="preserve">These sessions were designed to facilitate the usage of the RAF throughout the bank. This was viewed by the MgmtB and the SB to have been a very good initiative. </w:t>
            </w:r>
          </w:p>
          <w:p w:rsidR="00077303" w:rsidRPr="00CD4E22" w:rsidRDefault="00077303" w:rsidP="001517FC">
            <w:pPr>
              <w:pStyle w:val="NeAdnumber-level1"/>
              <w:keepNext/>
              <w:numPr>
                <w:ilvl w:val="0"/>
                <w:numId w:val="0"/>
              </w:numPr>
              <w:rPr>
                <w:i/>
              </w:rPr>
            </w:pPr>
            <w:r>
              <w:rPr>
                <w:i/>
              </w:rPr>
              <w:t xml:space="preserve">However, the </w:t>
            </w:r>
            <w:r w:rsidR="001D7E37">
              <w:rPr>
                <w:i/>
              </w:rPr>
              <w:t>C</w:t>
            </w:r>
            <w:r>
              <w:rPr>
                <w:i/>
              </w:rPr>
              <w:t xml:space="preserve">hair of the SB raised a point that caused second thoughts in the </w:t>
            </w:r>
            <w:r w:rsidR="009D39EA">
              <w:rPr>
                <w:i/>
              </w:rPr>
              <w:t>SBRC</w:t>
            </w:r>
            <w:r>
              <w:rPr>
                <w:i/>
              </w:rPr>
              <w:t xml:space="preserve">. She argued that the reason that such a comprehensive presentation of the RAS was able to occur was because </w:t>
            </w:r>
            <w:r w:rsidR="001517FC">
              <w:rPr>
                <w:i/>
              </w:rPr>
              <w:t>the</w:t>
            </w:r>
            <w:r>
              <w:rPr>
                <w:i/>
              </w:rPr>
              <w:t xml:space="preserve"> RAS was not granular enough and did not raise specific issues related to the business plan and budget of the bank. It was resolved that the SBRC would review the RAS to make it more relevant to the business and would guide the CRO to (a) make </w:t>
            </w:r>
            <w:r w:rsidR="004C6BC9">
              <w:rPr>
                <w:i/>
              </w:rPr>
              <w:t xml:space="preserve">a </w:t>
            </w:r>
            <w:r>
              <w:rPr>
                <w:i/>
              </w:rPr>
              <w:t>general presentation of the RAF and general nature of the RAS and (b) develop more granular presentations to smaller groups focusing on more topical/granular RAS aspects.</w:t>
            </w:r>
          </w:p>
        </w:tc>
      </w:tr>
    </w:tbl>
    <w:p w:rsidR="0076428F" w:rsidRDefault="0076428F" w:rsidP="0076428F">
      <w:pPr>
        <w:pStyle w:val="NeAdnumber-level1"/>
        <w:numPr>
          <w:ilvl w:val="0"/>
          <w:numId w:val="0"/>
        </w:numPr>
        <w:ind w:left="567"/>
      </w:pPr>
    </w:p>
    <w:p w:rsidR="00415562" w:rsidRDefault="000E6858" w:rsidP="00340BE1">
      <w:pPr>
        <w:pStyle w:val="NeAdH3"/>
        <w:keepNext/>
      </w:pPr>
      <w:bookmarkStart w:id="30" w:name="_Toc510622703"/>
      <w:r>
        <w:t xml:space="preserve">Embedding: </w:t>
      </w:r>
      <w:r w:rsidR="00415562">
        <w:t>Remuneration</w:t>
      </w:r>
      <w:bookmarkEnd w:id="30"/>
    </w:p>
    <w:p w:rsidR="00CB5547" w:rsidRDefault="00CB5547" w:rsidP="00340BE1">
      <w:pPr>
        <w:pStyle w:val="NeAdH42"/>
        <w:keepNext/>
      </w:pPr>
      <w:r>
        <w:t>Recommendations</w:t>
      </w:r>
    </w:p>
    <w:tbl>
      <w:tblPr>
        <w:tblStyle w:val="Tabelamrea"/>
        <w:tblW w:w="0" w:type="auto"/>
        <w:tblInd w:w="-147" w:type="dxa"/>
        <w:tblLook w:val="04A0" w:firstRow="1" w:lastRow="0" w:firstColumn="1" w:lastColumn="0" w:noHBand="0" w:noVBand="1"/>
      </w:tblPr>
      <w:tblGrid>
        <w:gridCol w:w="8642"/>
      </w:tblGrid>
      <w:tr w:rsidR="00251B7B" w:rsidTr="00D37BBB">
        <w:trPr>
          <w:trHeight w:val="983"/>
        </w:trPr>
        <w:tc>
          <w:tcPr>
            <w:tcW w:w="8642" w:type="dxa"/>
            <w:shd w:val="clear" w:color="auto" w:fill="B4C6E7" w:themeFill="accent1" w:themeFillTint="66"/>
          </w:tcPr>
          <w:p w:rsidR="00251B7B" w:rsidRPr="0088681F" w:rsidRDefault="00D37BBB" w:rsidP="00340BE1">
            <w:pPr>
              <w:pStyle w:val="NeAdnumber-level1"/>
              <w:keepNext/>
              <w:numPr>
                <w:ilvl w:val="0"/>
                <w:numId w:val="0"/>
              </w:numPr>
              <w:rPr>
                <w:i/>
              </w:rPr>
            </w:pPr>
            <w:r w:rsidRPr="00D37BBB">
              <w:rPr>
                <w:i/>
              </w:rPr>
              <w:t>2</w:t>
            </w:r>
            <w:r w:rsidR="00A42957">
              <w:rPr>
                <w:i/>
              </w:rPr>
              <w:t>2</w:t>
            </w:r>
            <w:r w:rsidRPr="00D37BBB">
              <w:rPr>
                <w:i/>
              </w:rPr>
              <w:t>.</w:t>
            </w:r>
            <w:r>
              <w:rPr>
                <w:b/>
                <w:i/>
              </w:rPr>
              <w:t xml:space="preserve"> </w:t>
            </w:r>
            <w:r w:rsidR="005D58EE" w:rsidRPr="005D58EE">
              <w:rPr>
                <w:i/>
              </w:rPr>
              <w:t>The b</w:t>
            </w:r>
            <w:r w:rsidR="00642B27" w:rsidRPr="005D58EE">
              <w:rPr>
                <w:i/>
              </w:rPr>
              <w:t>ank</w:t>
            </w:r>
            <w:r w:rsidR="00642B27" w:rsidRPr="0088681F">
              <w:rPr>
                <w:i/>
              </w:rPr>
              <w:t xml:space="preserve"> </w:t>
            </w:r>
            <w:r w:rsidR="00E56DD4">
              <w:rPr>
                <w:i/>
              </w:rPr>
              <w:t xml:space="preserve">should </w:t>
            </w:r>
            <w:r w:rsidR="00642B27" w:rsidRPr="0088681F">
              <w:rPr>
                <w:i/>
              </w:rPr>
              <w:t xml:space="preserve">explicitly link variable remuneration to respecting applicable </w:t>
            </w:r>
            <w:r w:rsidR="00CA651B" w:rsidRPr="0088681F">
              <w:rPr>
                <w:i/>
              </w:rPr>
              <w:t>RAP</w:t>
            </w:r>
            <w:r w:rsidR="00642B27" w:rsidRPr="0088681F">
              <w:rPr>
                <w:i/>
              </w:rPr>
              <w:t xml:space="preserve"> thresholds and limits.</w:t>
            </w:r>
            <w:r w:rsidR="00CF64EF" w:rsidRPr="00CF64EF">
              <w:rPr>
                <w:rFonts w:ascii="Times New Roman" w:hAnsi="Times New Roman" w:cs="Times New Roman"/>
                <w:i/>
                <w:sz w:val="24"/>
                <w:szCs w:val="24"/>
              </w:rPr>
              <w:t xml:space="preserve"> </w:t>
            </w:r>
            <w:r w:rsidR="00CF64EF" w:rsidRPr="00CF64EF">
              <w:rPr>
                <w:i/>
              </w:rPr>
              <w:t xml:space="preserve">This link should be reflected in </w:t>
            </w:r>
            <w:r w:rsidR="0010796C">
              <w:rPr>
                <w:i/>
              </w:rPr>
              <w:t xml:space="preserve">the </w:t>
            </w:r>
            <w:r w:rsidR="00CF64EF" w:rsidRPr="00CF64EF">
              <w:rPr>
                <w:i/>
              </w:rPr>
              <w:t>bank</w:t>
            </w:r>
            <w:r w:rsidR="0010796C">
              <w:rPr>
                <w:i/>
              </w:rPr>
              <w:t>’s</w:t>
            </w:r>
            <w:r w:rsidR="00CF64EF" w:rsidRPr="00CF64EF">
              <w:rPr>
                <w:i/>
              </w:rPr>
              <w:t xml:space="preserve"> remuneration policies</w:t>
            </w:r>
            <w:r w:rsidR="00CF64EF">
              <w:rPr>
                <w:i/>
              </w:rPr>
              <w:t>.</w:t>
            </w:r>
          </w:p>
        </w:tc>
      </w:tr>
    </w:tbl>
    <w:p w:rsidR="00622532" w:rsidRDefault="00CB5547" w:rsidP="00622532">
      <w:pPr>
        <w:pStyle w:val="NeAdH42"/>
      </w:pPr>
      <w:r>
        <w:t>Detailed Guidance</w:t>
      </w:r>
    </w:p>
    <w:p w:rsidR="007135A9" w:rsidRDefault="007135A9" w:rsidP="007135A9">
      <w:pPr>
        <w:pStyle w:val="NeAdnumber-level1"/>
      </w:pPr>
      <w:r>
        <w:t>Another important aspect related to the embedding of RAFs</w:t>
      </w:r>
      <w:r w:rsidRPr="00382EA3">
        <w:t xml:space="preserve"> </w:t>
      </w:r>
      <w:r>
        <w:t>is staff remuneration. The ECB has issued initial guidance in this area</w:t>
      </w:r>
      <w:r w:rsidR="00707999">
        <w:t>,</w:t>
      </w:r>
      <w:r>
        <w:t xml:space="preserve"> but</w:t>
      </w:r>
      <w:r w:rsidR="00E85910">
        <w:t xml:space="preserve"> this topic was not elaborated in much detail in</w:t>
      </w:r>
      <w:r>
        <w:t xml:space="preserve"> the SSM Supervisory Statement. According to ECB guidance</w:t>
      </w:r>
      <w:r w:rsidRPr="00382EA3">
        <w:t xml:space="preserve">, </w:t>
      </w:r>
      <w:r>
        <w:t>the RAF should be closely linked to banks’ remuneration frameworks. V</w:t>
      </w:r>
      <w:r w:rsidRPr="00382EA3">
        <w:t xml:space="preserve">ariable </w:t>
      </w:r>
      <w:r>
        <w:t xml:space="preserve">staff </w:t>
      </w:r>
      <w:r w:rsidRPr="00382EA3">
        <w:t>remuneration should</w:t>
      </w:r>
      <w:r>
        <w:t xml:space="preserve"> </w:t>
      </w:r>
      <w:r w:rsidRPr="00382EA3">
        <w:t>be linked to some risk factors</w:t>
      </w:r>
      <w:r w:rsidRPr="000F0BDB">
        <w:t xml:space="preserve"> i</w:t>
      </w:r>
      <w:r>
        <w:t>n line with Article 94 CRD IV</w:t>
      </w:r>
      <w:r w:rsidR="0081748A">
        <w:rPr>
          <w:rStyle w:val="Sprotnaopomba-sklic"/>
        </w:rPr>
        <w:footnoteReference w:id="33"/>
      </w:r>
      <w:r w:rsidRPr="00382EA3">
        <w:t>, both ex ante (key risk-related performance indicators used as an input to calculate variable remuneration) and ex post (“malus” provisions in the event of non</w:t>
      </w:r>
      <w:r>
        <w:t>-</w:t>
      </w:r>
      <w:r w:rsidRPr="00382EA3">
        <w:t>compliance with key risk indicators).</w:t>
      </w:r>
      <w:r>
        <w:rPr>
          <w:rStyle w:val="Sprotnaopomba-sklic"/>
        </w:rPr>
        <w:footnoteReference w:id="34"/>
      </w:r>
    </w:p>
    <w:p w:rsidR="00CA2CD3" w:rsidRDefault="00CA2CD3" w:rsidP="00CA2CD3">
      <w:pPr>
        <w:pStyle w:val="NeAdnumber-level1"/>
      </w:pPr>
      <w:r>
        <w:t>The link between the RAF and the remuneration framework should cover two aspects. Firstly,</w:t>
      </w:r>
      <w:r w:rsidRPr="009C38BE">
        <w:t xml:space="preserve"> staying within </w:t>
      </w:r>
      <w:r>
        <w:t>RAP</w:t>
      </w:r>
      <w:r w:rsidRPr="009C38BE">
        <w:t xml:space="preserve"> thresholds</w:t>
      </w:r>
      <w:r>
        <w:t xml:space="preserve"> for the businesses </w:t>
      </w:r>
      <w:r w:rsidR="004271E6">
        <w:t xml:space="preserve">that </w:t>
      </w:r>
      <w:r>
        <w:t>they are responsible for</w:t>
      </w:r>
      <w:r w:rsidRPr="009C38BE">
        <w:t xml:space="preserve"> should be one of the factors in </w:t>
      </w:r>
      <w:r>
        <w:t>setting the variable</w:t>
      </w:r>
      <w:r w:rsidRPr="009C38BE">
        <w:t xml:space="preserve"> remuneration of senior </w:t>
      </w:r>
      <w:r>
        <w:t xml:space="preserve">executives. Secondly, </w:t>
      </w:r>
      <w:r w:rsidRPr="009C38BE">
        <w:t xml:space="preserve">a malus could kick in if </w:t>
      </w:r>
      <w:r>
        <w:t>the risk profile was underestimated or underreported in a period and this becomes evident ex post.</w:t>
      </w:r>
    </w:p>
    <w:p w:rsidR="00415562" w:rsidRDefault="00415562" w:rsidP="00827F1B">
      <w:pPr>
        <w:pStyle w:val="NeAdH3"/>
      </w:pPr>
      <w:bookmarkStart w:id="31" w:name="_Toc510622704"/>
      <w:r>
        <w:t>External Communication</w:t>
      </w:r>
      <w:bookmarkEnd w:id="31"/>
    </w:p>
    <w:p w:rsidR="0030377C" w:rsidRDefault="0030377C" w:rsidP="00622532">
      <w:pPr>
        <w:pStyle w:val="NeAdH42"/>
      </w:pPr>
      <w:r>
        <w:t>Recommendations</w:t>
      </w:r>
    </w:p>
    <w:tbl>
      <w:tblPr>
        <w:tblStyle w:val="Tabelamrea"/>
        <w:tblW w:w="0" w:type="auto"/>
        <w:tblInd w:w="-147" w:type="dxa"/>
        <w:tblLook w:val="04A0" w:firstRow="1" w:lastRow="0" w:firstColumn="1" w:lastColumn="0" w:noHBand="0" w:noVBand="1"/>
      </w:tblPr>
      <w:tblGrid>
        <w:gridCol w:w="8642"/>
      </w:tblGrid>
      <w:tr w:rsidR="00CE5E00" w:rsidTr="00E124A7">
        <w:trPr>
          <w:trHeight w:val="1096"/>
        </w:trPr>
        <w:tc>
          <w:tcPr>
            <w:tcW w:w="8642" w:type="dxa"/>
            <w:shd w:val="clear" w:color="auto" w:fill="B4C6E7" w:themeFill="accent1" w:themeFillTint="66"/>
          </w:tcPr>
          <w:p w:rsidR="00CE5E00" w:rsidRPr="0088681F" w:rsidRDefault="00F41C86" w:rsidP="00250A41">
            <w:pPr>
              <w:pStyle w:val="NeAdnumber-level1"/>
              <w:numPr>
                <w:ilvl w:val="0"/>
                <w:numId w:val="0"/>
              </w:numPr>
              <w:rPr>
                <w:i/>
              </w:rPr>
            </w:pPr>
            <w:r>
              <w:rPr>
                <w:i/>
              </w:rPr>
              <w:t>2</w:t>
            </w:r>
            <w:r w:rsidR="00A42957">
              <w:rPr>
                <w:i/>
              </w:rPr>
              <w:t>3</w:t>
            </w:r>
            <w:r>
              <w:rPr>
                <w:i/>
              </w:rPr>
              <w:t xml:space="preserve">. </w:t>
            </w:r>
            <w:r w:rsidR="005D58EE">
              <w:rPr>
                <w:i/>
              </w:rPr>
              <w:t>The b</w:t>
            </w:r>
            <w:r w:rsidR="00CE5E00" w:rsidRPr="0088681F">
              <w:rPr>
                <w:i/>
              </w:rPr>
              <w:t xml:space="preserve">ank </w:t>
            </w:r>
            <w:r w:rsidR="0073463F" w:rsidRPr="0073463F">
              <w:rPr>
                <w:i/>
              </w:rPr>
              <w:t xml:space="preserve">should make an effort to improve Pillar 3 disclosures as regards the description of </w:t>
            </w:r>
            <w:r w:rsidR="0010796C">
              <w:rPr>
                <w:i/>
              </w:rPr>
              <w:t>its</w:t>
            </w:r>
            <w:r w:rsidR="0073463F" w:rsidRPr="0073463F">
              <w:rPr>
                <w:i/>
              </w:rPr>
              <w:t xml:space="preserve"> RAF, the structure of </w:t>
            </w:r>
            <w:r w:rsidR="0010796C">
              <w:rPr>
                <w:i/>
              </w:rPr>
              <w:t>its</w:t>
            </w:r>
            <w:r w:rsidR="0073463F" w:rsidRPr="0073463F">
              <w:rPr>
                <w:i/>
              </w:rPr>
              <w:t xml:space="preserve"> RAS, and the main elements of risk profile reporting.</w:t>
            </w:r>
          </w:p>
        </w:tc>
      </w:tr>
    </w:tbl>
    <w:p w:rsidR="00622532" w:rsidRDefault="0030377C" w:rsidP="00622532">
      <w:pPr>
        <w:pStyle w:val="NeAdH42"/>
      </w:pPr>
      <w:r>
        <w:t>Detailed Guidance</w:t>
      </w:r>
    </w:p>
    <w:p w:rsidR="00C027AF" w:rsidRDefault="00C027AF" w:rsidP="00C027AF">
      <w:pPr>
        <w:pStyle w:val="NeAdnumber-level1"/>
      </w:pPr>
      <w:r>
        <w:t>The level of information disclosed in Annual Reports and Pillar 3 Reports differs widely among Slovenian banks. While the</w:t>
      </w:r>
      <w:r w:rsidR="006673D0">
        <w:t xml:space="preserve"> CRD IV framework</w:t>
      </w:r>
      <w:r>
        <w:t xml:space="preserve"> </w:t>
      </w:r>
      <w:r w:rsidR="00403AEA">
        <w:t>does not mandate detailed</w:t>
      </w:r>
      <w:r>
        <w:t xml:space="preserve"> RAP-related disclosures, more could be done to improve transparency</w:t>
      </w:r>
      <w:r w:rsidRPr="00EF399E">
        <w:t>.</w:t>
      </w:r>
      <w:r>
        <w:t xml:space="preserve"> </w:t>
      </w:r>
      <w:r w:rsidR="00806AB8">
        <w:t xml:space="preserve">This would </w:t>
      </w:r>
      <w:r w:rsidR="005D07DD">
        <w:t xml:space="preserve">allow for </w:t>
      </w:r>
      <w:r w:rsidR="00806AB8">
        <w:t xml:space="preserve">a better understanding of each bank’s RAP-related </w:t>
      </w:r>
      <w:r w:rsidR="005D07DD">
        <w:t xml:space="preserve">and risk governance </w:t>
      </w:r>
      <w:r w:rsidR="00806AB8">
        <w:t xml:space="preserve">practices </w:t>
      </w:r>
      <w:r w:rsidR="005D07DD">
        <w:t>by the financial marketplace</w:t>
      </w:r>
      <w:r w:rsidR="00806AB8">
        <w:t xml:space="preserve">. </w:t>
      </w:r>
      <w:r w:rsidR="000D5D7F">
        <w:t>Furthermore, t</w:t>
      </w:r>
      <w:r>
        <w:t xml:space="preserve">ransparency is </w:t>
      </w:r>
      <w:r w:rsidR="000D5D7F">
        <w:t xml:space="preserve">also </w:t>
      </w:r>
      <w:r>
        <w:t xml:space="preserve">a powerful incentive for other </w:t>
      </w:r>
      <w:r w:rsidR="007F69F2">
        <w:t>bank</w:t>
      </w:r>
      <w:r>
        <w:t>s to bring their practices up to standard</w:t>
      </w:r>
      <w:r w:rsidR="005D07DD">
        <w:t>.</w:t>
      </w:r>
    </w:p>
    <w:p w:rsidR="00E81693" w:rsidRDefault="00CE2522" w:rsidP="00CE2522">
      <w:pPr>
        <w:pStyle w:val="NeAdnumber-level1"/>
      </w:pPr>
      <w:r>
        <w:t xml:space="preserve">While </w:t>
      </w:r>
      <w:r w:rsidR="00525B8B">
        <w:t>they should not disclose</w:t>
      </w:r>
      <w:r>
        <w:t xml:space="preserve"> the </w:t>
      </w:r>
      <w:r w:rsidR="00BC1EE9">
        <w:t xml:space="preserve">entire </w:t>
      </w:r>
      <w:r>
        <w:t xml:space="preserve">RAS, banks should generally disclose information on the goals of their RAFs and the role of the different bodies and units involved in preparing and approving the RAF. </w:t>
      </w:r>
    </w:p>
    <w:p w:rsidR="00CE2522" w:rsidRDefault="00CE2522" w:rsidP="00CE2522">
      <w:pPr>
        <w:pStyle w:val="NeAdnumber-level1"/>
      </w:pPr>
      <w:r>
        <w:t xml:space="preserve">The information can be presented in </w:t>
      </w:r>
      <w:r w:rsidR="00950605">
        <w:t xml:space="preserve">brief, </w:t>
      </w:r>
      <w:r>
        <w:t xml:space="preserve">general terms, but disclosures should cover the link between the RAF and business strategy, the different steps in preparing the RAF, </w:t>
      </w:r>
      <w:r w:rsidR="009B376A">
        <w:t>plus</w:t>
      </w:r>
      <w:r>
        <w:t xml:space="preserve"> the role of internal bodies such as the SB, the SBRC</w:t>
      </w:r>
      <w:r w:rsidR="00D0523E">
        <w:t>,</w:t>
      </w:r>
      <w:r>
        <w:t xml:space="preserve"> the MgmtB, senior management</w:t>
      </w:r>
      <w:r w:rsidR="00D0523E">
        <w:t>,</w:t>
      </w:r>
      <w:r>
        <w:t xml:space="preserve"> and the </w:t>
      </w:r>
      <w:r w:rsidR="00D0523E">
        <w:t>risk management</w:t>
      </w:r>
      <w:r>
        <w:t xml:space="preserve"> function.</w:t>
      </w:r>
      <w:r w:rsidR="00E81693">
        <w:t xml:space="preserve"> </w:t>
      </w:r>
      <w:r w:rsidR="006C35F8">
        <w:t xml:space="preserve">The following example illustrates this approach: </w:t>
      </w:r>
    </w:p>
    <w:tbl>
      <w:tblPr>
        <w:tblStyle w:val="Tabelamrea"/>
        <w:tblW w:w="0" w:type="auto"/>
        <w:tblInd w:w="1413" w:type="dxa"/>
        <w:tblLook w:val="04A0" w:firstRow="1" w:lastRow="0" w:firstColumn="1" w:lastColumn="0" w:noHBand="0" w:noVBand="1"/>
      </w:tblPr>
      <w:tblGrid>
        <w:gridCol w:w="7082"/>
      </w:tblGrid>
      <w:tr w:rsidR="00C31AD9" w:rsidTr="00684192">
        <w:tc>
          <w:tcPr>
            <w:tcW w:w="7082" w:type="dxa"/>
            <w:shd w:val="clear" w:color="auto" w:fill="D9D9D9" w:themeFill="background1" w:themeFillShade="D9"/>
          </w:tcPr>
          <w:p w:rsidR="00C31AD9" w:rsidRPr="00807C69" w:rsidRDefault="00807C69" w:rsidP="00807C69">
            <w:pPr>
              <w:pStyle w:val="NeAdnumber-level1"/>
              <w:keepNext/>
              <w:numPr>
                <w:ilvl w:val="0"/>
                <w:numId w:val="0"/>
              </w:numPr>
              <w:rPr>
                <w:i/>
              </w:rPr>
            </w:pPr>
            <w:r>
              <w:rPr>
                <w:i/>
              </w:rPr>
              <w:t>“</w:t>
            </w:r>
            <w:r w:rsidRPr="00807C69">
              <w:rPr>
                <w:i/>
              </w:rPr>
              <w:t>The Group's risk appetite framework, approved by the Board, determines the risks (and their level) that the Group</w:t>
            </w:r>
            <w:r>
              <w:rPr>
                <w:i/>
              </w:rPr>
              <w:t xml:space="preserve"> </w:t>
            </w:r>
            <w:r w:rsidRPr="00807C69">
              <w:rPr>
                <w:i/>
              </w:rPr>
              <w:t>is willing to assume to achieve its business objectives considering an organic evolution of its business. These are</w:t>
            </w:r>
            <w:r>
              <w:rPr>
                <w:i/>
              </w:rPr>
              <w:t xml:space="preserve"> </w:t>
            </w:r>
            <w:r w:rsidRPr="00807C69">
              <w:rPr>
                <w:i/>
              </w:rPr>
              <w:t>expressed in terms of solvency, liquidity and funding profitability, recurrent earnings, cost of risk or other metrics,</w:t>
            </w:r>
            <w:r>
              <w:rPr>
                <w:i/>
              </w:rPr>
              <w:t xml:space="preserve"> </w:t>
            </w:r>
            <w:r w:rsidRPr="00807C69">
              <w:rPr>
                <w:i/>
              </w:rPr>
              <w:t>which are reviewed periodically as well as in case of material changes to the entity’s business or relevant</w:t>
            </w:r>
            <w:r>
              <w:rPr>
                <w:i/>
              </w:rPr>
              <w:t xml:space="preserve"> </w:t>
            </w:r>
            <w:r w:rsidRPr="00807C69">
              <w:rPr>
                <w:i/>
              </w:rPr>
              <w:t>corporate transactions</w:t>
            </w:r>
            <w:r w:rsidR="00C31AD9">
              <w:rPr>
                <w:i/>
              </w:rPr>
              <w:t>.”</w:t>
            </w:r>
          </w:p>
          <w:p w:rsidR="00C31AD9" w:rsidRPr="00470888" w:rsidRDefault="00554628" w:rsidP="00C31AD9">
            <w:pPr>
              <w:pStyle w:val="NeAdnumber-level1"/>
              <w:keepNext/>
              <w:numPr>
                <w:ilvl w:val="0"/>
                <w:numId w:val="7"/>
              </w:numPr>
              <w:jc w:val="right"/>
              <w:rPr>
                <w:b/>
              </w:rPr>
            </w:pPr>
            <w:r>
              <w:rPr>
                <w:b/>
              </w:rPr>
              <w:t>A</w:t>
            </w:r>
            <w:r w:rsidR="00C31AD9" w:rsidRPr="00470888">
              <w:rPr>
                <w:b/>
              </w:rPr>
              <w:t xml:space="preserve"> </w:t>
            </w:r>
            <w:r w:rsidR="004328B8">
              <w:rPr>
                <w:b/>
              </w:rPr>
              <w:t xml:space="preserve">sample bank </w:t>
            </w:r>
          </w:p>
        </w:tc>
      </w:tr>
    </w:tbl>
    <w:p w:rsidR="008A7E1A" w:rsidRDefault="008A7E1A" w:rsidP="008A7E1A">
      <w:pPr>
        <w:pStyle w:val="NeAdnumber-level1"/>
      </w:pPr>
      <w:r>
        <w:t xml:space="preserve">When it comes to RAP metrics, banks could disclose general categories used to link their businesses to the institution-wide risk profile, their overall approach to setting their risk capacity and their philosophy behind the typology of risks they employ. However, </w:t>
      </w:r>
      <w:r w:rsidR="004271E6">
        <w:t xml:space="preserve">the </w:t>
      </w:r>
      <w:r>
        <w:t xml:space="preserve">disclosure of individual numerical targets would not be expected. </w:t>
      </w:r>
      <w:r w:rsidR="00C610F6">
        <w:t>This can be illustrated by the following partial example</w:t>
      </w:r>
      <w:r w:rsidR="004F2D2E">
        <w:t>, based on the public disclosures of a sample bank</w:t>
      </w:r>
      <w:r w:rsidR="00C610F6">
        <w:t>:</w:t>
      </w:r>
    </w:p>
    <w:tbl>
      <w:tblPr>
        <w:tblStyle w:val="Tabelamrea"/>
        <w:tblW w:w="0" w:type="auto"/>
        <w:tblInd w:w="-1423" w:type="dxa"/>
        <w:tblLook w:val="04A0" w:firstRow="1" w:lastRow="0" w:firstColumn="1" w:lastColumn="0" w:noHBand="0" w:noVBand="1"/>
      </w:tblPr>
      <w:tblGrid>
        <w:gridCol w:w="1844"/>
        <w:gridCol w:w="1984"/>
        <w:gridCol w:w="1985"/>
        <w:gridCol w:w="1984"/>
        <w:gridCol w:w="2263"/>
      </w:tblGrid>
      <w:tr w:rsidR="002062A3" w:rsidTr="00FC0724">
        <w:tc>
          <w:tcPr>
            <w:tcW w:w="1844" w:type="dxa"/>
            <w:shd w:val="clear" w:color="auto" w:fill="D9D9D9" w:themeFill="background1" w:themeFillShade="D9"/>
          </w:tcPr>
          <w:p w:rsidR="004957DA" w:rsidRPr="00FC0724" w:rsidRDefault="002062A3" w:rsidP="00E322B4">
            <w:pPr>
              <w:pStyle w:val="NeAdnumber-level1"/>
              <w:numPr>
                <w:ilvl w:val="0"/>
                <w:numId w:val="0"/>
              </w:numPr>
              <w:jc w:val="center"/>
              <w:rPr>
                <w:b/>
                <w:u w:val="single"/>
              </w:rPr>
            </w:pPr>
            <w:r w:rsidRPr="00FC0724">
              <w:rPr>
                <w:b/>
                <w:u w:val="single"/>
              </w:rPr>
              <w:t>Volatility of results</w:t>
            </w:r>
          </w:p>
        </w:tc>
        <w:tc>
          <w:tcPr>
            <w:tcW w:w="1984" w:type="dxa"/>
            <w:shd w:val="clear" w:color="auto" w:fill="D9D9D9" w:themeFill="background1" w:themeFillShade="D9"/>
          </w:tcPr>
          <w:p w:rsidR="004957DA" w:rsidRPr="00FC0724" w:rsidRDefault="002062A3" w:rsidP="00E322B4">
            <w:pPr>
              <w:pStyle w:val="NeAdnumber-level1"/>
              <w:numPr>
                <w:ilvl w:val="0"/>
                <w:numId w:val="0"/>
              </w:numPr>
              <w:jc w:val="center"/>
              <w:rPr>
                <w:b/>
                <w:u w:val="single"/>
              </w:rPr>
            </w:pPr>
            <w:r w:rsidRPr="00FC0724">
              <w:rPr>
                <w:b/>
                <w:u w:val="single"/>
              </w:rPr>
              <w:t>Solvency</w:t>
            </w:r>
          </w:p>
        </w:tc>
        <w:tc>
          <w:tcPr>
            <w:tcW w:w="1985" w:type="dxa"/>
            <w:shd w:val="clear" w:color="auto" w:fill="D9D9D9" w:themeFill="background1" w:themeFillShade="D9"/>
          </w:tcPr>
          <w:p w:rsidR="004957DA" w:rsidRPr="00FC0724" w:rsidRDefault="002062A3" w:rsidP="00E322B4">
            <w:pPr>
              <w:pStyle w:val="NeAdnumber-level1"/>
              <w:numPr>
                <w:ilvl w:val="0"/>
                <w:numId w:val="0"/>
              </w:numPr>
              <w:jc w:val="center"/>
              <w:rPr>
                <w:b/>
                <w:u w:val="single"/>
              </w:rPr>
            </w:pPr>
            <w:r w:rsidRPr="00FC0724">
              <w:rPr>
                <w:b/>
                <w:u w:val="single"/>
              </w:rPr>
              <w:t>Liquidity</w:t>
            </w:r>
          </w:p>
        </w:tc>
        <w:tc>
          <w:tcPr>
            <w:tcW w:w="1984" w:type="dxa"/>
            <w:shd w:val="clear" w:color="auto" w:fill="D9D9D9" w:themeFill="background1" w:themeFillShade="D9"/>
          </w:tcPr>
          <w:p w:rsidR="004957DA" w:rsidRPr="00FC0724" w:rsidRDefault="002062A3" w:rsidP="00E322B4">
            <w:pPr>
              <w:pStyle w:val="NeAdnumber-level1"/>
              <w:numPr>
                <w:ilvl w:val="0"/>
                <w:numId w:val="0"/>
              </w:numPr>
              <w:jc w:val="center"/>
              <w:rPr>
                <w:b/>
                <w:u w:val="single"/>
              </w:rPr>
            </w:pPr>
            <w:r w:rsidRPr="00FC0724">
              <w:rPr>
                <w:b/>
                <w:u w:val="single"/>
              </w:rPr>
              <w:t>Concentration</w:t>
            </w:r>
          </w:p>
        </w:tc>
        <w:tc>
          <w:tcPr>
            <w:tcW w:w="2263" w:type="dxa"/>
            <w:shd w:val="clear" w:color="auto" w:fill="D9D9D9" w:themeFill="background1" w:themeFillShade="D9"/>
          </w:tcPr>
          <w:p w:rsidR="004957DA" w:rsidRPr="00FC0724" w:rsidRDefault="002062A3" w:rsidP="00E322B4">
            <w:pPr>
              <w:pStyle w:val="NeAdnumber-level1"/>
              <w:numPr>
                <w:ilvl w:val="0"/>
                <w:numId w:val="0"/>
              </w:numPr>
              <w:jc w:val="center"/>
              <w:rPr>
                <w:b/>
                <w:u w:val="single"/>
              </w:rPr>
            </w:pPr>
            <w:r w:rsidRPr="00FC0724">
              <w:rPr>
                <w:b/>
                <w:u w:val="single"/>
              </w:rPr>
              <w:t>Non-financial and transversal risks</w:t>
            </w:r>
          </w:p>
        </w:tc>
      </w:tr>
      <w:tr w:rsidR="002062A3" w:rsidTr="00FC0724">
        <w:tc>
          <w:tcPr>
            <w:tcW w:w="1844" w:type="dxa"/>
            <w:shd w:val="clear" w:color="auto" w:fill="D9D9D9" w:themeFill="background1" w:themeFillShade="D9"/>
          </w:tcPr>
          <w:p w:rsidR="004957DA" w:rsidRPr="00FC0724" w:rsidRDefault="004957DA" w:rsidP="00E322B4">
            <w:pPr>
              <w:pStyle w:val="NeAdnumber-level1"/>
              <w:numPr>
                <w:ilvl w:val="0"/>
                <w:numId w:val="25"/>
              </w:numPr>
              <w:jc w:val="left"/>
              <w:rPr>
                <w:i/>
              </w:rPr>
            </w:pPr>
            <w:r w:rsidRPr="00FC0724">
              <w:rPr>
                <w:i/>
              </w:rPr>
              <w:t>Maximum loss the Group is prepared to accept under a scenario of acute tension</w:t>
            </w:r>
          </w:p>
        </w:tc>
        <w:tc>
          <w:tcPr>
            <w:tcW w:w="1984" w:type="dxa"/>
            <w:shd w:val="clear" w:color="auto" w:fill="D9D9D9" w:themeFill="background1" w:themeFillShade="D9"/>
          </w:tcPr>
          <w:p w:rsidR="004957DA" w:rsidRPr="00FC0724" w:rsidRDefault="004957DA" w:rsidP="00E322B4">
            <w:pPr>
              <w:pStyle w:val="NeAdnumber-level1"/>
              <w:numPr>
                <w:ilvl w:val="0"/>
                <w:numId w:val="25"/>
              </w:numPr>
              <w:jc w:val="left"/>
              <w:rPr>
                <w:i/>
              </w:rPr>
            </w:pPr>
            <w:r w:rsidRPr="00FC0724">
              <w:rPr>
                <w:i/>
              </w:rPr>
              <w:t>Minimum capital position the Group is prepared to accept under a scenario of acute tension</w:t>
            </w:r>
          </w:p>
          <w:p w:rsidR="004957DA" w:rsidRPr="00FC0724" w:rsidRDefault="004957DA" w:rsidP="00E322B4">
            <w:pPr>
              <w:pStyle w:val="NeAdnumber-level1"/>
              <w:numPr>
                <w:ilvl w:val="0"/>
                <w:numId w:val="25"/>
              </w:numPr>
              <w:jc w:val="left"/>
              <w:rPr>
                <w:i/>
              </w:rPr>
            </w:pPr>
            <w:r w:rsidRPr="00FC0724">
              <w:rPr>
                <w:i/>
              </w:rPr>
              <w:t>Maximum leverage the Group is prepared to accept under a scenario of acute tension</w:t>
            </w:r>
          </w:p>
        </w:tc>
        <w:tc>
          <w:tcPr>
            <w:tcW w:w="1985" w:type="dxa"/>
            <w:shd w:val="clear" w:color="auto" w:fill="D9D9D9" w:themeFill="background1" w:themeFillShade="D9"/>
          </w:tcPr>
          <w:p w:rsidR="004957DA" w:rsidRPr="00FC0724" w:rsidRDefault="004957DA" w:rsidP="00E322B4">
            <w:pPr>
              <w:pStyle w:val="NeAdnumber-level1"/>
              <w:numPr>
                <w:ilvl w:val="0"/>
                <w:numId w:val="25"/>
              </w:numPr>
              <w:jc w:val="left"/>
              <w:rPr>
                <w:i/>
              </w:rPr>
            </w:pPr>
            <w:r w:rsidRPr="00FC0724">
              <w:rPr>
                <w:i/>
              </w:rPr>
              <w:t xml:space="preserve">Minimum structural liquidity position </w:t>
            </w:r>
          </w:p>
          <w:p w:rsidR="004957DA" w:rsidRPr="00FC0724" w:rsidRDefault="004957DA" w:rsidP="00E322B4">
            <w:pPr>
              <w:pStyle w:val="NeAdnumber-level1"/>
              <w:numPr>
                <w:ilvl w:val="0"/>
                <w:numId w:val="25"/>
              </w:numPr>
              <w:jc w:val="left"/>
              <w:rPr>
                <w:i/>
              </w:rPr>
            </w:pPr>
            <w:r w:rsidRPr="00FC0724">
              <w:rPr>
                <w:i/>
              </w:rPr>
              <w:t xml:space="preserve">Minimum liquidity horizon position that the Group is prepared to accept under a scenario of acute tension </w:t>
            </w:r>
          </w:p>
          <w:p w:rsidR="004957DA" w:rsidRPr="00FC0724" w:rsidRDefault="004957DA" w:rsidP="00E322B4">
            <w:pPr>
              <w:pStyle w:val="NeAdnumber-level1"/>
              <w:numPr>
                <w:ilvl w:val="0"/>
                <w:numId w:val="25"/>
              </w:numPr>
              <w:jc w:val="left"/>
              <w:rPr>
                <w:i/>
              </w:rPr>
            </w:pPr>
            <w:r w:rsidRPr="00FC0724">
              <w:rPr>
                <w:i/>
              </w:rPr>
              <w:t>Minimum liquidity coverage position</w:t>
            </w:r>
          </w:p>
        </w:tc>
        <w:tc>
          <w:tcPr>
            <w:tcW w:w="1984" w:type="dxa"/>
            <w:shd w:val="clear" w:color="auto" w:fill="D9D9D9" w:themeFill="background1" w:themeFillShade="D9"/>
          </w:tcPr>
          <w:p w:rsidR="004957DA" w:rsidRPr="00FC0724" w:rsidRDefault="004957DA" w:rsidP="00E322B4">
            <w:pPr>
              <w:pStyle w:val="NeAdnumber-level1"/>
              <w:numPr>
                <w:ilvl w:val="0"/>
                <w:numId w:val="25"/>
              </w:numPr>
              <w:jc w:val="left"/>
              <w:rPr>
                <w:i/>
              </w:rPr>
            </w:pPr>
            <w:r w:rsidRPr="00FC0724">
              <w:rPr>
                <w:i/>
              </w:rPr>
              <w:t>Concentration by individual customer</w:t>
            </w:r>
          </w:p>
          <w:p w:rsidR="004957DA" w:rsidRPr="00FC0724" w:rsidRDefault="004957DA" w:rsidP="00E322B4">
            <w:pPr>
              <w:pStyle w:val="NeAdnumber-level1"/>
              <w:numPr>
                <w:ilvl w:val="0"/>
                <w:numId w:val="26"/>
              </w:numPr>
              <w:jc w:val="left"/>
              <w:rPr>
                <w:i/>
              </w:rPr>
            </w:pPr>
            <w:r w:rsidRPr="00FC0724">
              <w:rPr>
                <w:i/>
              </w:rPr>
              <w:t xml:space="preserve">Concentration in non-investment grade counterparties </w:t>
            </w:r>
          </w:p>
          <w:p w:rsidR="004957DA" w:rsidRPr="00FC0724" w:rsidRDefault="004957DA" w:rsidP="00E322B4">
            <w:pPr>
              <w:pStyle w:val="NeAdnumber-level1"/>
              <w:numPr>
                <w:ilvl w:val="0"/>
                <w:numId w:val="26"/>
              </w:numPr>
              <w:jc w:val="left"/>
              <w:rPr>
                <w:i/>
              </w:rPr>
            </w:pPr>
            <w:r w:rsidRPr="00FC0724">
              <w:rPr>
                <w:i/>
              </w:rPr>
              <w:t>Concentration in large exposures</w:t>
            </w:r>
          </w:p>
        </w:tc>
        <w:tc>
          <w:tcPr>
            <w:tcW w:w="2263" w:type="dxa"/>
            <w:shd w:val="clear" w:color="auto" w:fill="D9D9D9" w:themeFill="background1" w:themeFillShade="D9"/>
          </w:tcPr>
          <w:p w:rsidR="004957DA" w:rsidRPr="00FC0724" w:rsidRDefault="004957DA" w:rsidP="00E322B4">
            <w:pPr>
              <w:pStyle w:val="NeAdnumber-level1"/>
              <w:numPr>
                <w:ilvl w:val="0"/>
                <w:numId w:val="26"/>
              </w:numPr>
              <w:jc w:val="left"/>
              <w:rPr>
                <w:i/>
              </w:rPr>
            </w:pPr>
            <w:r w:rsidRPr="00FC0724">
              <w:rPr>
                <w:i/>
              </w:rPr>
              <w:t>Qualitative operational risk indicators: Fraud</w:t>
            </w:r>
            <w:r w:rsidR="00A7038B" w:rsidRPr="00FC0724">
              <w:rPr>
                <w:i/>
              </w:rPr>
              <w:t>;</w:t>
            </w:r>
            <w:r w:rsidRPr="00FC0724">
              <w:rPr>
                <w:i/>
              </w:rPr>
              <w:t xml:space="preserve"> Technological</w:t>
            </w:r>
            <w:r w:rsidR="00A7038B" w:rsidRPr="00FC0724">
              <w:rPr>
                <w:i/>
              </w:rPr>
              <w:t xml:space="preserve">; </w:t>
            </w:r>
            <w:r w:rsidRPr="00FC0724">
              <w:rPr>
                <w:i/>
              </w:rPr>
              <w:t>Security and cyber-risk</w:t>
            </w:r>
            <w:r w:rsidR="00A7038B" w:rsidRPr="00FC0724">
              <w:rPr>
                <w:i/>
              </w:rPr>
              <w:t>;</w:t>
            </w:r>
            <w:r w:rsidRPr="00FC0724">
              <w:rPr>
                <w:i/>
              </w:rPr>
              <w:t xml:space="preserve"> Litigation</w:t>
            </w:r>
            <w:r w:rsidR="00A7038B" w:rsidRPr="00FC0724">
              <w:rPr>
                <w:i/>
              </w:rPr>
              <w:t xml:space="preserve">; </w:t>
            </w:r>
            <w:r w:rsidRPr="00FC0724">
              <w:rPr>
                <w:i/>
              </w:rPr>
              <w:t>Other</w:t>
            </w:r>
          </w:p>
          <w:p w:rsidR="004957DA" w:rsidRPr="00FC0724" w:rsidRDefault="004957DA" w:rsidP="00E322B4">
            <w:pPr>
              <w:pStyle w:val="NeAdnumber-level1"/>
              <w:numPr>
                <w:ilvl w:val="0"/>
                <w:numId w:val="26"/>
              </w:numPr>
              <w:jc w:val="left"/>
              <w:rPr>
                <w:i/>
              </w:rPr>
            </w:pPr>
            <w:r w:rsidRPr="00FC0724">
              <w:rPr>
                <w:i/>
              </w:rPr>
              <w:t xml:space="preserve">Maximum operational risk losses </w:t>
            </w:r>
          </w:p>
          <w:p w:rsidR="004957DA" w:rsidRPr="00FC0724" w:rsidRDefault="004957DA" w:rsidP="00E322B4">
            <w:pPr>
              <w:pStyle w:val="NeAdnumber-level1"/>
              <w:numPr>
                <w:ilvl w:val="0"/>
                <w:numId w:val="26"/>
              </w:numPr>
              <w:jc w:val="left"/>
              <w:rPr>
                <w:i/>
              </w:rPr>
            </w:pPr>
            <w:r w:rsidRPr="00FC0724">
              <w:rPr>
                <w:i/>
              </w:rPr>
              <w:t>Maximum risk profile</w:t>
            </w:r>
          </w:p>
        </w:tc>
      </w:tr>
    </w:tbl>
    <w:p w:rsidR="00D521F5" w:rsidRDefault="00205A08" w:rsidP="00D521F5">
      <w:pPr>
        <w:pStyle w:val="NeAdnumber-level1"/>
      </w:pPr>
      <w:r>
        <w:t xml:space="preserve">Briefly describing how </w:t>
      </w:r>
      <w:r w:rsidR="007F69F2">
        <w:t>bank</w:t>
      </w:r>
      <w:r>
        <w:t xml:space="preserve">s embed their RAPs within the organisation as discussed above might also be considered best practice. </w:t>
      </w:r>
      <w:r w:rsidR="00163D69" w:rsidRPr="00163D69">
        <w:t xml:space="preserve">Banks </w:t>
      </w:r>
      <w:r w:rsidR="00163D69">
        <w:t>should also consider</w:t>
      </w:r>
      <w:r w:rsidR="00163D69" w:rsidRPr="00163D69">
        <w:t xml:space="preserve"> disclos</w:t>
      </w:r>
      <w:r w:rsidR="00163D69">
        <w:t>ing</w:t>
      </w:r>
      <w:r w:rsidR="00163D69" w:rsidRPr="00163D69">
        <w:t xml:space="preserve"> information on how they link their RAFs and remuneration frameworks</w:t>
      </w:r>
      <w:r w:rsidR="008C18E7">
        <w:t>:</w:t>
      </w:r>
    </w:p>
    <w:tbl>
      <w:tblPr>
        <w:tblStyle w:val="Tabelamrea"/>
        <w:tblW w:w="0" w:type="auto"/>
        <w:tblInd w:w="1413" w:type="dxa"/>
        <w:tblLook w:val="04A0" w:firstRow="1" w:lastRow="0" w:firstColumn="1" w:lastColumn="0" w:noHBand="0" w:noVBand="1"/>
      </w:tblPr>
      <w:tblGrid>
        <w:gridCol w:w="7082"/>
      </w:tblGrid>
      <w:tr w:rsidR="008C18E7" w:rsidTr="00684192">
        <w:tc>
          <w:tcPr>
            <w:tcW w:w="7082" w:type="dxa"/>
            <w:shd w:val="clear" w:color="auto" w:fill="D9D9D9" w:themeFill="background1" w:themeFillShade="D9"/>
          </w:tcPr>
          <w:p w:rsidR="008C18E7" w:rsidRPr="00807C69" w:rsidRDefault="008C18E7" w:rsidP="00D3308B">
            <w:pPr>
              <w:pStyle w:val="NeAdnumber-level1"/>
              <w:keepNext/>
              <w:numPr>
                <w:ilvl w:val="0"/>
                <w:numId w:val="0"/>
              </w:numPr>
              <w:rPr>
                <w:i/>
              </w:rPr>
            </w:pPr>
            <w:r>
              <w:rPr>
                <w:i/>
              </w:rPr>
              <w:t>“</w:t>
            </w:r>
            <w:r w:rsidR="00692CED">
              <w:rPr>
                <w:i/>
              </w:rPr>
              <w:t>The remuneration program was also directly linked to the Group RAS to reinforce risk culture and risk awareness within the Group</w:t>
            </w:r>
            <w:r>
              <w:rPr>
                <w:i/>
              </w:rPr>
              <w:t>.</w:t>
            </w:r>
            <w:r w:rsidR="00692CED">
              <w:rPr>
                <w:i/>
              </w:rPr>
              <w:t xml:space="preserve"> In that light, the determination of the annual bonus pool must consider if the relevant core metrics are within the Group RAS.</w:t>
            </w:r>
            <w:r>
              <w:rPr>
                <w:i/>
              </w:rPr>
              <w:t>”</w:t>
            </w:r>
          </w:p>
          <w:p w:rsidR="008C18E7" w:rsidRPr="00470888" w:rsidRDefault="00C1314F" w:rsidP="00D3308B">
            <w:pPr>
              <w:pStyle w:val="NeAdnumber-level1"/>
              <w:keepNext/>
              <w:numPr>
                <w:ilvl w:val="0"/>
                <w:numId w:val="7"/>
              </w:numPr>
              <w:jc w:val="right"/>
              <w:rPr>
                <w:b/>
              </w:rPr>
            </w:pPr>
            <w:r>
              <w:rPr>
                <w:b/>
              </w:rPr>
              <w:t xml:space="preserve">A </w:t>
            </w:r>
            <w:r w:rsidR="008C18E7">
              <w:rPr>
                <w:b/>
              </w:rPr>
              <w:t xml:space="preserve">sample bank </w:t>
            </w:r>
          </w:p>
        </w:tc>
      </w:tr>
    </w:tbl>
    <w:p w:rsidR="00590A6F" w:rsidRDefault="002B11C5" w:rsidP="00590A6F">
      <w:pPr>
        <w:pStyle w:val="NeAdH3"/>
      </w:pPr>
      <w:bookmarkStart w:id="32" w:name="_Toc510622705"/>
      <w:r>
        <w:t xml:space="preserve">Embedding </w:t>
      </w:r>
      <w:r w:rsidR="004E6214">
        <w:t xml:space="preserve">of the RAF </w:t>
      </w:r>
      <w:r>
        <w:t>and Proportionality</w:t>
      </w:r>
      <w:bookmarkEnd w:id="32"/>
    </w:p>
    <w:p w:rsidR="00EB3BCE" w:rsidRPr="002D4715" w:rsidRDefault="007022F6" w:rsidP="00EB3BCE">
      <w:pPr>
        <w:pStyle w:val="NeAdnumber-level1"/>
      </w:pPr>
      <w:r>
        <w:t>For reasons of proportionality, e</w:t>
      </w:r>
      <w:r w:rsidR="00EB3BCE">
        <w:t xml:space="preserve">mbedding the RAF </w:t>
      </w:r>
      <w:r w:rsidR="00337A4D">
        <w:t xml:space="preserve">should </w:t>
      </w:r>
      <w:r w:rsidR="00BA71A6">
        <w:t xml:space="preserve">involve different steps </w:t>
      </w:r>
      <w:r w:rsidR="004100DF">
        <w:t>depending on the size and complexity of the bank.</w:t>
      </w:r>
      <w:r w:rsidR="00EB3BCE" w:rsidRPr="002D4715">
        <w:t xml:space="preserve"> </w:t>
      </w:r>
    </w:p>
    <w:p w:rsidR="0079745C" w:rsidRDefault="005F2369" w:rsidP="00F02861">
      <w:pPr>
        <w:pStyle w:val="NeAdnumber-level1"/>
      </w:pPr>
      <w:r>
        <w:t xml:space="preserve">As per </w:t>
      </w:r>
      <w:r w:rsidR="00554628">
        <w:t xml:space="preserve">the </w:t>
      </w:r>
      <w:r>
        <w:t>discussion above, b</w:t>
      </w:r>
      <w:r w:rsidRPr="005F2369">
        <w:t xml:space="preserve">anks should develop training programmes on RAP and the way that the RAF works within the group. </w:t>
      </w:r>
      <w:r w:rsidR="00554628">
        <w:t>S</w:t>
      </w:r>
      <w:r w:rsidR="005E74CF" w:rsidRPr="005E74CF">
        <w:t xml:space="preserve">maller banks can also be expected to undertake certain internal outreach and training efforts. Especially if training sessions are targeted to the most important internal stakeholders and confidential strategic information is only used where appropriate, </w:t>
      </w:r>
      <w:r w:rsidR="00554628">
        <w:t xml:space="preserve">there </w:t>
      </w:r>
      <w:r w:rsidR="00B26732">
        <w:t>is no</w:t>
      </w:r>
      <w:r w:rsidR="00554628">
        <w:t xml:space="preserve"> reason</w:t>
      </w:r>
      <w:r w:rsidR="005E74CF" w:rsidRPr="005E74CF">
        <w:t xml:space="preserve"> why smaller organisations should not facilitate the embedding of their RAFs</w:t>
      </w:r>
      <w:r w:rsidR="00B26732">
        <w:t xml:space="preserve"> </w:t>
      </w:r>
      <w:r w:rsidR="00554628">
        <w:t>through training</w:t>
      </w:r>
      <w:r w:rsidR="005E74CF" w:rsidRPr="005E74CF">
        <w:t>.</w:t>
      </w:r>
      <w:r w:rsidR="00430FBB">
        <w:t xml:space="preserve"> </w:t>
      </w:r>
      <w:r w:rsidR="00C22996" w:rsidRPr="00C22996">
        <w:t xml:space="preserve">For </w:t>
      </w:r>
      <w:r w:rsidR="00430FBB">
        <w:t xml:space="preserve">less complex </w:t>
      </w:r>
      <w:r w:rsidR="00094B25">
        <w:t>banks</w:t>
      </w:r>
      <w:r w:rsidR="00C22996" w:rsidRPr="00C22996">
        <w:t xml:space="preserve">, the development of courses including exams and certification by the Bank Association </w:t>
      </w:r>
      <w:r w:rsidR="00523FE5">
        <w:t xml:space="preserve">of Slovenia </w:t>
      </w:r>
      <w:r w:rsidR="00C22996" w:rsidRPr="00C22996">
        <w:t xml:space="preserve">might </w:t>
      </w:r>
      <w:r w:rsidR="00554628">
        <w:t>be another important way of</w:t>
      </w:r>
      <w:r w:rsidR="00523FE5">
        <w:t xml:space="preserve"> </w:t>
      </w:r>
      <w:r w:rsidR="00603DEC">
        <w:t>enhancing RAP</w:t>
      </w:r>
      <w:r w:rsidR="00554628">
        <w:t xml:space="preserve"> “consciousness” and the broader risk culture of the institution</w:t>
      </w:r>
      <w:r w:rsidR="00603DEC">
        <w:t>.</w:t>
      </w:r>
    </w:p>
    <w:p w:rsidR="00430FBB" w:rsidRDefault="00554628" w:rsidP="00F02861">
      <w:pPr>
        <w:pStyle w:val="NeAdnumber-level1"/>
      </w:pPr>
      <w:r>
        <w:t>It is understandable that smaller banks may not have the capacity to produce extensive</w:t>
      </w:r>
      <w:r w:rsidR="003B0D44">
        <w:t>, best practice</w:t>
      </w:r>
      <w:r>
        <w:t xml:space="preserve"> disclosures related to their RAP within the generally permissive confines of </w:t>
      </w:r>
      <w:r w:rsidR="00770420">
        <w:t>the CR</w:t>
      </w:r>
      <w:r w:rsidR="001B372E">
        <w:t>D IV framework</w:t>
      </w:r>
      <w:r>
        <w:t>. I</w:t>
      </w:r>
      <w:r w:rsidR="00421277">
        <w:t xml:space="preserve">t </w:t>
      </w:r>
      <w:r>
        <w:t>might</w:t>
      </w:r>
      <w:r w:rsidR="00421277">
        <w:t xml:space="preserve"> be sufficient </w:t>
      </w:r>
      <w:r w:rsidR="00500E70">
        <w:t xml:space="preserve">for </w:t>
      </w:r>
      <w:r w:rsidR="003B0D44">
        <w:t>such</w:t>
      </w:r>
      <w:r w:rsidR="00500E70">
        <w:t xml:space="preserve"> banks </w:t>
      </w:r>
      <w:r w:rsidR="00421277">
        <w:t xml:space="preserve">to </w:t>
      </w:r>
      <w:r w:rsidR="003B0D44">
        <w:t xml:space="preserve">simply </w:t>
      </w:r>
      <w:r w:rsidR="00006186" w:rsidRPr="00006186">
        <w:t xml:space="preserve">mention that </w:t>
      </w:r>
      <w:r w:rsidR="00500E70">
        <w:t xml:space="preserve">they have </w:t>
      </w:r>
      <w:r>
        <w:t xml:space="preserve">developed </w:t>
      </w:r>
      <w:r w:rsidR="00500E70">
        <w:t>a</w:t>
      </w:r>
      <w:r w:rsidR="00006186" w:rsidRPr="00006186">
        <w:t xml:space="preserve"> </w:t>
      </w:r>
      <w:r w:rsidR="00500E70">
        <w:t xml:space="preserve">RAF and a RAS that </w:t>
      </w:r>
      <w:r w:rsidR="00F32611">
        <w:t>are</w:t>
      </w:r>
      <w:r w:rsidR="00500E70">
        <w:t xml:space="preserve"> </w:t>
      </w:r>
      <w:r w:rsidR="00006186" w:rsidRPr="00006186">
        <w:t>approved by the SB</w:t>
      </w:r>
      <w:r w:rsidR="00F32611">
        <w:t xml:space="preserve"> and reviewed on a regular basis.</w:t>
      </w:r>
    </w:p>
    <w:p w:rsidR="00365FE4" w:rsidRDefault="00365FE4" w:rsidP="00D521F5">
      <w:pPr>
        <w:pStyle w:val="NeAdnumber-level2"/>
        <w:numPr>
          <w:ilvl w:val="0"/>
          <w:numId w:val="0"/>
        </w:numPr>
        <w:ind w:left="927"/>
        <w:jc w:val="center"/>
        <w:rPr>
          <w:b/>
        </w:rPr>
      </w:pPr>
    </w:p>
    <w:p w:rsidR="00D521F5" w:rsidRPr="00D521F5" w:rsidRDefault="00D521F5" w:rsidP="00D521F5">
      <w:pPr>
        <w:pStyle w:val="NeAdnumber-level2"/>
        <w:numPr>
          <w:ilvl w:val="0"/>
          <w:numId w:val="0"/>
        </w:numPr>
        <w:ind w:left="927"/>
        <w:jc w:val="center"/>
        <w:rPr>
          <w:b/>
        </w:rPr>
      </w:pPr>
      <w:r w:rsidRPr="00D521F5">
        <w:rPr>
          <w:b/>
        </w:rPr>
        <w:t>- E N D -</w:t>
      </w:r>
    </w:p>
    <w:p w:rsidR="002F730D" w:rsidRPr="00D521F5" w:rsidRDefault="002F730D" w:rsidP="00D521F5">
      <w:pPr>
        <w:jc w:val="center"/>
      </w:pPr>
    </w:p>
    <w:sectPr w:rsidR="002F730D" w:rsidRPr="00D521F5" w:rsidSect="0074753F">
      <w:headerReference w:type="even" r:id="rId24"/>
      <w:headerReference w:type="default" r:id="rId25"/>
      <w:headerReference w:type="first" r:id="rId26"/>
      <w:pgSz w:w="11907" w:h="16840" w:code="9"/>
      <w:pgMar w:top="1418" w:right="992" w:bottom="1418" w:left="226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76" w:rsidRDefault="00291876">
      <w:r>
        <w:separator/>
      </w:r>
    </w:p>
    <w:p w:rsidR="00291876" w:rsidRDefault="00291876"/>
    <w:p w:rsidR="00291876" w:rsidRDefault="00291876"/>
  </w:endnote>
  <w:endnote w:type="continuationSeparator" w:id="0">
    <w:p w:rsidR="00291876" w:rsidRDefault="00291876">
      <w:r>
        <w:continuationSeparator/>
      </w:r>
    </w:p>
    <w:p w:rsidR="00291876" w:rsidRDefault="00291876"/>
    <w:p w:rsidR="00291876" w:rsidRDefault="00291876"/>
  </w:endnote>
  <w:endnote w:type="continuationNotice" w:id="1">
    <w:p w:rsidR="00291876" w:rsidRDefault="0029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06" w:type="dxa"/>
      <w:tblInd w:w="-2232" w:type="dxa"/>
      <w:tblLook w:val="01E0" w:firstRow="1" w:lastRow="1" w:firstColumn="1" w:lastColumn="1" w:noHBand="0" w:noVBand="0"/>
    </w:tblPr>
    <w:tblGrid>
      <w:gridCol w:w="625"/>
      <w:gridCol w:w="1520"/>
      <w:gridCol w:w="10961"/>
    </w:tblGrid>
    <w:tr w:rsidR="00B24972" w:rsidRPr="000B2C90" w:rsidTr="624C5C71">
      <w:tc>
        <w:tcPr>
          <w:tcW w:w="625" w:type="dxa"/>
          <w:shd w:val="clear" w:color="auto" w:fill="646464"/>
        </w:tcPr>
        <w:p w:rsidR="00B24972" w:rsidRPr="000B2C90" w:rsidRDefault="00B24972" w:rsidP="00B320CB">
          <w:pPr>
            <w:tabs>
              <w:tab w:val="right" w:pos="10692"/>
            </w:tabs>
            <w:rPr>
              <w:rFonts w:ascii="Calibri" w:hAnsi="Calibri"/>
              <w:b/>
              <w:bCs/>
            </w:rPr>
          </w:pPr>
        </w:p>
      </w:tc>
      <w:tc>
        <w:tcPr>
          <w:tcW w:w="1520" w:type="dxa"/>
          <w:shd w:val="clear" w:color="auto" w:fill="7D96BE"/>
        </w:tcPr>
        <w:p w:rsidR="00B24972" w:rsidRPr="000B2C90" w:rsidRDefault="00B24972" w:rsidP="00F25140">
          <w:pPr>
            <w:jc w:val="center"/>
            <w:rPr>
              <w:rFonts w:ascii="Calibri" w:hAnsi="Calibri"/>
              <w:b/>
              <w:bCs/>
              <w:color w:val="FFFFFF"/>
              <w:sz w:val="28"/>
              <w:szCs w:val="28"/>
            </w:rPr>
          </w:pPr>
          <w:r w:rsidRPr="000B2C90">
            <w:rPr>
              <w:rFonts w:ascii="Calibri" w:hAnsi="Calibri"/>
              <w:b/>
              <w:bCs/>
              <w:color w:val="FFFFFF"/>
              <w:sz w:val="28"/>
              <w:szCs w:val="28"/>
            </w:rPr>
            <w:fldChar w:fldCharType="begin"/>
          </w:r>
          <w:r w:rsidRPr="000B2C90">
            <w:rPr>
              <w:rFonts w:ascii="Calibri" w:hAnsi="Calibri"/>
              <w:b/>
              <w:bCs/>
              <w:color w:val="FFFFFF"/>
              <w:sz w:val="28"/>
              <w:szCs w:val="28"/>
            </w:rPr>
            <w:instrText xml:space="preserve"> PAGE </w:instrText>
          </w:r>
          <w:r w:rsidRPr="000B2C90">
            <w:rPr>
              <w:rFonts w:ascii="Calibri" w:hAnsi="Calibri"/>
              <w:b/>
              <w:bCs/>
              <w:color w:val="FFFFFF"/>
              <w:sz w:val="28"/>
              <w:szCs w:val="28"/>
            </w:rPr>
            <w:fldChar w:fldCharType="separate"/>
          </w:r>
          <w:r w:rsidR="00EA236E">
            <w:rPr>
              <w:rFonts w:ascii="Calibri" w:hAnsi="Calibri"/>
              <w:b/>
              <w:bCs/>
              <w:noProof/>
              <w:color w:val="FFFFFF"/>
              <w:sz w:val="28"/>
              <w:szCs w:val="28"/>
            </w:rPr>
            <w:t>2</w:t>
          </w:r>
          <w:r w:rsidRPr="000B2C90">
            <w:rPr>
              <w:rFonts w:ascii="Calibri" w:hAnsi="Calibri"/>
              <w:b/>
              <w:bCs/>
              <w:color w:val="FFFFFF"/>
              <w:sz w:val="28"/>
              <w:szCs w:val="28"/>
            </w:rPr>
            <w:fldChar w:fldCharType="end"/>
          </w:r>
        </w:p>
      </w:tc>
      <w:tc>
        <w:tcPr>
          <w:tcW w:w="10961" w:type="dxa"/>
          <w:shd w:val="clear" w:color="auto" w:fill="F3F3F3"/>
        </w:tcPr>
        <w:p w:rsidR="00B24972" w:rsidRPr="000B2C90" w:rsidRDefault="00B24972" w:rsidP="624C5C71">
          <w:pPr>
            <w:pStyle w:val="NeAdHeaderFooter"/>
            <w:tabs>
              <w:tab w:val="clear" w:pos="10773"/>
            </w:tabs>
            <w:jc w:val="right"/>
            <w:rPr>
              <w:rFonts w:ascii="Calibri" w:hAnsi="Calibri"/>
            </w:rPr>
          </w:pPr>
        </w:p>
      </w:tc>
    </w:tr>
  </w:tbl>
  <w:p w:rsidR="00B24972" w:rsidRDefault="00B24972" w:rsidP="00864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76" w:rsidRDefault="00291876">
      <w:r>
        <w:separator/>
      </w:r>
    </w:p>
    <w:p w:rsidR="00291876" w:rsidRDefault="00291876"/>
    <w:p w:rsidR="00291876" w:rsidRDefault="00291876"/>
  </w:footnote>
  <w:footnote w:type="continuationSeparator" w:id="0">
    <w:p w:rsidR="00291876" w:rsidRDefault="00291876">
      <w:r>
        <w:continuationSeparator/>
      </w:r>
    </w:p>
    <w:p w:rsidR="00291876" w:rsidRDefault="00291876"/>
    <w:p w:rsidR="00291876" w:rsidRDefault="00291876"/>
  </w:footnote>
  <w:footnote w:type="continuationNotice" w:id="1">
    <w:p w:rsidR="00291876" w:rsidRDefault="00291876"/>
  </w:footnote>
  <w:footnote w:id="2">
    <w:p w:rsidR="00B24972" w:rsidRPr="007C2C53" w:rsidRDefault="00B24972">
      <w:pPr>
        <w:pStyle w:val="Sprotnaopomba-besedilo"/>
      </w:pPr>
      <w:r w:rsidRPr="007C2C53">
        <w:rPr>
          <w:rStyle w:val="Sprotnaopomba-sklic"/>
          <w:sz w:val="18"/>
        </w:rPr>
        <w:footnoteRef/>
      </w:r>
      <w:r w:rsidRPr="007C2C53">
        <w:rPr>
          <w:sz w:val="18"/>
        </w:rPr>
        <w:t xml:space="preserve"> Article 3 (1) (7) of Directive 2013/36/EU.</w:t>
      </w:r>
    </w:p>
  </w:footnote>
  <w:footnote w:id="3">
    <w:p w:rsidR="00B24972" w:rsidRPr="0056039C" w:rsidRDefault="00B24972" w:rsidP="00757048">
      <w:pPr>
        <w:pStyle w:val="Sprotnaopomba-besedilo"/>
        <w:jc w:val="both"/>
        <w:rPr>
          <w:sz w:val="18"/>
          <w:szCs w:val="18"/>
        </w:rPr>
      </w:pPr>
      <w:r w:rsidRPr="0056039C">
        <w:rPr>
          <w:rStyle w:val="Sprotnaopomba-sklic"/>
          <w:sz w:val="18"/>
          <w:szCs w:val="18"/>
        </w:rPr>
        <w:footnoteRef/>
      </w:r>
      <w:r w:rsidRPr="0056039C">
        <w:rPr>
          <w:sz w:val="18"/>
          <w:szCs w:val="18"/>
        </w:rPr>
        <w:t xml:space="preserve"> </w:t>
      </w:r>
      <w:r w:rsidRPr="00684882">
        <w:rPr>
          <w:sz w:val="18"/>
          <w:szCs w:val="18"/>
        </w:rPr>
        <w:t>ECB, SSM Supervisory Statement on Governance and Risk Appetite, June 2016</w:t>
      </w:r>
      <w:r w:rsidRPr="0056039C">
        <w:rPr>
          <w:sz w:val="18"/>
          <w:szCs w:val="18"/>
        </w:rPr>
        <w:t>, p 2.</w:t>
      </w:r>
    </w:p>
  </w:footnote>
  <w:footnote w:id="4">
    <w:p w:rsidR="00B24972" w:rsidRPr="0056039C" w:rsidRDefault="00B24972" w:rsidP="00757048">
      <w:pPr>
        <w:pStyle w:val="Sprotnaopomba-besedilo"/>
        <w:jc w:val="both"/>
        <w:rPr>
          <w:sz w:val="18"/>
          <w:szCs w:val="18"/>
        </w:rPr>
      </w:pPr>
      <w:r w:rsidRPr="0056039C">
        <w:rPr>
          <w:rStyle w:val="Sprotnaopomba-sklic"/>
          <w:sz w:val="18"/>
          <w:szCs w:val="18"/>
        </w:rPr>
        <w:footnoteRef/>
      </w:r>
      <w:r w:rsidRPr="0056039C">
        <w:rPr>
          <w:sz w:val="18"/>
          <w:szCs w:val="18"/>
        </w:rPr>
        <w:t xml:space="preserve"> </w:t>
      </w:r>
      <w:r w:rsidRPr="00684882">
        <w:rPr>
          <w:sz w:val="18"/>
          <w:szCs w:val="18"/>
        </w:rPr>
        <w:t>EBA, Final Report - Guidelines on internal governance under Directive 2013/36/EU, EBA/GL/2017/11, 26 September 2017</w:t>
      </w:r>
      <w:r w:rsidRPr="0056039C">
        <w:rPr>
          <w:sz w:val="18"/>
          <w:szCs w:val="18"/>
        </w:rPr>
        <w:t>, p 8.</w:t>
      </w:r>
    </w:p>
  </w:footnote>
  <w:footnote w:id="5">
    <w:p w:rsidR="00B24972" w:rsidRPr="0056039C" w:rsidRDefault="00B24972" w:rsidP="003C56E1">
      <w:pPr>
        <w:pStyle w:val="Sprotnaopomba-besedilo"/>
        <w:jc w:val="both"/>
        <w:rPr>
          <w:sz w:val="18"/>
          <w:szCs w:val="18"/>
        </w:rPr>
      </w:pPr>
      <w:r w:rsidRPr="0056039C">
        <w:rPr>
          <w:rStyle w:val="Sprotnaopomba-sklic"/>
          <w:sz w:val="18"/>
          <w:szCs w:val="18"/>
        </w:rPr>
        <w:footnoteRef/>
      </w:r>
      <w:r w:rsidRPr="0056039C">
        <w:rPr>
          <w:sz w:val="18"/>
          <w:szCs w:val="18"/>
        </w:rPr>
        <w:t xml:space="preserve"> This also covers the Board of Directors in its supervisory capacity under the unitary board system.</w:t>
      </w:r>
      <w:r>
        <w:rPr>
          <w:sz w:val="18"/>
          <w:szCs w:val="18"/>
        </w:rPr>
        <w:t xml:space="preserve"> In particular, well developed RAFs should provide a mechanism to engage non-executive members of the unitary Board of Directors </w:t>
      </w:r>
      <w:r w:rsidRPr="008E1FAD">
        <w:rPr>
          <w:sz w:val="18"/>
          <w:szCs w:val="18"/>
        </w:rPr>
        <w:t>in developing a risk-conscious strategy and in capital planning and allocation</w:t>
      </w:r>
      <w:r>
        <w:rPr>
          <w:sz w:val="18"/>
          <w:szCs w:val="18"/>
        </w:rPr>
        <w:t>.</w:t>
      </w:r>
    </w:p>
  </w:footnote>
  <w:footnote w:id="6">
    <w:p w:rsidR="00B24972" w:rsidRPr="001C5F75" w:rsidRDefault="00B24972" w:rsidP="00F124B0">
      <w:pPr>
        <w:pStyle w:val="Sprotnaopomba-besedilo"/>
        <w:jc w:val="both"/>
        <w:rPr>
          <w:sz w:val="18"/>
          <w:szCs w:val="18"/>
        </w:rPr>
      </w:pPr>
      <w:r w:rsidRPr="001C5F75">
        <w:rPr>
          <w:rStyle w:val="Sprotnaopomba-sklic"/>
          <w:sz w:val="18"/>
          <w:szCs w:val="18"/>
        </w:rPr>
        <w:footnoteRef/>
      </w:r>
      <w:r w:rsidRPr="001C5F75">
        <w:rPr>
          <w:sz w:val="18"/>
          <w:szCs w:val="18"/>
        </w:rPr>
        <w:t xml:space="preserve"> FSB, Principles for An Effective Risk Appetite Framework, 2013.</w:t>
      </w:r>
    </w:p>
  </w:footnote>
  <w:footnote w:id="7">
    <w:p w:rsidR="00B24972" w:rsidRPr="00D90192" w:rsidRDefault="00B24972">
      <w:pPr>
        <w:pStyle w:val="Sprotnaopomba-besedilo"/>
        <w:rPr>
          <w:lang w:val="pt-PT"/>
        </w:rPr>
      </w:pPr>
      <w:r w:rsidRPr="001C5F75">
        <w:rPr>
          <w:rStyle w:val="Sprotnaopomba-sklic"/>
          <w:sz w:val="18"/>
          <w:szCs w:val="18"/>
        </w:rPr>
        <w:footnoteRef/>
      </w:r>
      <w:r w:rsidRPr="001C5F75">
        <w:rPr>
          <w:sz w:val="18"/>
          <w:szCs w:val="18"/>
          <w:lang w:val="pt-PT"/>
        </w:rPr>
        <w:t xml:space="preserve"> Directive 2013/36/EU and Regulation (EU) No 575/2013.</w:t>
      </w:r>
    </w:p>
  </w:footnote>
  <w:footnote w:id="8">
    <w:p w:rsidR="00B85BA3" w:rsidRDefault="00B85BA3" w:rsidP="00594FF7">
      <w:pPr>
        <w:pStyle w:val="Sprotnaopomba-besedilo"/>
        <w:jc w:val="both"/>
      </w:pPr>
      <w:r w:rsidRPr="00DE3E87">
        <w:rPr>
          <w:rStyle w:val="Sprotnaopomba-sklic"/>
          <w:sz w:val="18"/>
        </w:rPr>
        <w:footnoteRef/>
      </w:r>
      <w:r w:rsidRPr="00DE3E87">
        <w:rPr>
          <w:sz w:val="18"/>
        </w:rPr>
        <w:t xml:space="preserve"> It is important to note that banks might use different terms for the </w:t>
      </w:r>
      <w:r w:rsidR="004E3D3D" w:rsidRPr="00DE3E87">
        <w:rPr>
          <w:sz w:val="18"/>
        </w:rPr>
        <w:t xml:space="preserve">concepts of RAP thresholds and limits defined in the body of the text, depending on specific institutional legacies. </w:t>
      </w:r>
      <w:r w:rsidR="005779B5" w:rsidRPr="00DE3E87">
        <w:rPr>
          <w:sz w:val="18"/>
        </w:rPr>
        <w:t xml:space="preserve">This should not obscure the difference between these two concepts. Please </w:t>
      </w:r>
      <w:r w:rsidR="002C7631" w:rsidRPr="00DE3E87">
        <w:rPr>
          <w:sz w:val="18"/>
        </w:rPr>
        <w:t>also see</w:t>
      </w:r>
      <w:r w:rsidR="004A6A8A">
        <w:rPr>
          <w:sz w:val="18"/>
        </w:rPr>
        <w:t xml:space="preserve"> the discussion</w:t>
      </w:r>
      <w:r w:rsidR="002C7631" w:rsidRPr="00DE3E87">
        <w:rPr>
          <w:sz w:val="18"/>
        </w:rPr>
        <w:t xml:space="preserve"> </w:t>
      </w:r>
      <w:r w:rsidR="008B73D1" w:rsidRPr="00DE3E87">
        <w:rPr>
          <w:sz w:val="18"/>
        </w:rPr>
        <w:t>under II</w:t>
      </w:r>
      <w:r w:rsidR="00676F65" w:rsidRPr="00DE3E87">
        <w:rPr>
          <w:sz w:val="18"/>
        </w:rPr>
        <w:t xml:space="preserve">. C. i. </w:t>
      </w:r>
      <w:r w:rsidR="004A03E5">
        <w:rPr>
          <w:sz w:val="18"/>
        </w:rPr>
        <w:t>for further details.</w:t>
      </w:r>
      <w:r w:rsidR="00676F65" w:rsidRPr="00DE3E87">
        <w:rPr>
          <w:sz w:val="18"/>
        </w:rPr>
        <w:t xml:space="preserve"> </w:t>
      </w:r>
    </w:p>
  </w:footnote>
  <w:footnote w:id="9">
    <w:p w:rsidR="00B24972" w:rsidRPr="0056039C" w:rsidRDefault="00B24972" w:rsidP="00FB4895">
      <w:pPr>
        <w:pStyle w:val="Sprotnaopomba-besedilo"/>
        <w:jc w:val="both"/>
        <w:rPr>
          <w:sz w:val="18"/>
          <w:szCs w:val="18"/>
        </w:rPr>
      </w:pPr>
      <w:r w:rsidRPr="0056039C">
        <w:rPr>
          <w:rStyle w:val="Sprotnaopomba-sklic"/>
          <w:sz w:val="18"/>
          <w:szCs w:val="18"/>
        </w:rPr>
        <w:footnoteRef/>
      </w:r>
      <w:r w:rsidRPr="0056039C">
        <w:rPr>
          <w:sz w:val="18"/>
          <w:szCs w:val="18"/>
        </w:rPr>
        <w:t xml:space="preserve"> Please note that the following is a high-level summary and that the sequencing of the different steps should be adapted based on the particular circumstances and processes of the given institution.</w:t>
      </w:r>
    </w:p>
  </w:footnote>
  <w:footnote w:id="10">
    <w:p w:rsidR="00B24972" w:rsidRDefault="00B24972" w:rsidP="0062778B">
      <w:pPr>
        <w:pStyle w:val="Sprotnaopomba-besedilo"/>
        <w:jc w:val="both"/>
      </w:pPr>
      <w:r w:rsidRPr="0062778B">
        <w:rPr>
          <w:rStyle w:val="Sprotnaopomba-sklic"/>
          <w:sz w:val="18"/>
        </w:rPr>
        <w:footnoteRef/>
      </w:r>
      <w:r w:rsidRPr="0062778B">
        <w:rPr>
          <w:sz w:val="18"/>
        </w:rPr>
        <w:t xml:space="preserve"> The EU Bank Recovery and Resolution Directive. Please refer to our discussion </w:t>
      </w:r>
      <w:r w:rsidRPr="00EC777B">
        <w:rPr>
          <w:sz w:val="18"/>
        </w:rPr>
        <w:t>under II. C. i.</w:t>
      </w:r>
      <w:r w:rsidRPr="0062778B">
        <w:rPr>
          <w:sz w:val="18"/>
        </w:rPr>
        <w:t xml:space="preserve"> for more details.</w:t>
      </w:r>
    </w:p>
  </w:footnote>
  <w:footnote w:id="11">
    <w:p w:rsidR="00B24972" w:rsidRDefault="00B24972" w:rsidP="00B24C4A">
      <w:pPr>
        <w:pStyle w:val="Sprotnaopomba-besedilo"/>
        <w:jc w:val="both"/>
      </w:pPr>
      <w:r>
        <w:rPr>
          <w:rStyle w:val="Sprotnaopomba-sklic"/>
        </w:rPr>
        <w:footnoteRef/>
      </w:r>
      <w:r>
        <w:t xml:space="preserve"> </w:t>
      </w:r>
      <w:r w:rsidRPr="00991DBF">
        <w:rPr>
          <w:sz w:val="18"/>
        </w:rPr>
        <w:t xml:space="preserve">Under CRD IV rules, institutions that are not deemed to be significant under the SSM framework do not have to establish a separate SBRC. </w:t>
      </w:r>
      <w:r>
        <w:rPr>
          <w:sz w:val="18"/>
        </w:rPr>
        <w:t>According to</w:t>
      </w:r>
      <w:r w:rsidRPr="00991DBF">
        <w:rPr>
          <w:sz w:val="18"/>
        </w:rPr>
        <w:t xml:space="preserve"> Article 49 </w:t>
      </w:r>
      <w:r>
        <w:rPr>
          <w:sz w:val="18"/>
        </w:rPr>
        <w:t xml:space="preserve">(2) </w:t>
      </w:r>
      <w:r w:rsidRPr="00991DBF">
        <w:rPr>
          <w:sz w:val="18"/>
        </w:rPr>
        <w:t>of the Slovenian Banking Act of 2015</w:t>
      </w:r>
      <w:r>
        <w:rPr>
          <w:sz w:val="18"/>
        </w:rPr>
        <w:t>, banks can request permission from the BoS to establish a combined audit and risk committee. Regarding the bank’s risks, this combined committee has to perform the same tasks as a separate SBRC.</w:t>
      </w:r>
    </w:p>
  </w:footnote>
  <w:footnote w:id="12">
    <w:p w:rsidR="00B24972" w:rsidRDefault="00B24972" w:rsidP="00266625">
      <w:pPr>
        <w:pStyle w:val="Sprotnaopomba-besedilo"/>
        <w:jc w:val="both"/>
      </w:pPr>
      <w:r w:rsidRPr="00266625">
        <w:rPr>
          <w:rStyle w:val="Sprotnaopomba-sklic"/>
          <w:sz w:val="18"/>
        </w:rPr>
        <w:footnoteRef/>
      </w:r>
      <w:r w:rsidRPr="00266625">
        <w:rPr>
          <w:sz w:val="18"/>
        </w:rPr>
        <w:t xml:space="preserve"> According to Article 7, paragraph 1, item 30 of the Slovenian Banking Act of 2015, the term "senior management" refers to the management level just below the Management Board (B-1).</w:t>
      </w:r>
    </w:p>
  </w:footnote>
  <w:footnote w:id="13">
    <w:p w:rsidR="00B24972" w:rsidRPr="0056039C" w:rsidRDefault="00B24972" w:rsidP="002872CD">
      <w:pPr>
        <w:pStyle w:val="Sprotnaopomba-besedilo"/>
        <w:jc w:val="both"/>
        <w:rPr>
          <w:sz w:val="18"/>
          <w:szCs w:val="18"/>
        </w:rPr>
      </w:pPr>
      <w:r w:rsidRPr="0056039C">
        <w:rPr>
          <w:rStyle w:val="Sprotnaopomba-sklic"/>
          <w:sz w:val="18"/>
          <w:szCs w:val="18"/>
        </w:rPr>
        <w:footnoteRef/>
      </w:r>
      <w:r w:rsidRPr="0056039C">
        <w:rPr>
          <w:sz w:val="18"/>
          <w:szCs w:val="18"/>
        </w:rPr>
        <w:t xml:space="preserve"> SSM Supervisory Statement, p 19.</w:t>
      </w:r>
      <w:r>
        <w:rPr>
          <w:sz w:val="18"/>
          <w:szCs w:val="18"/>
        </w:rPr>
        <w:t xml:space="preserve"> In practice, the compliance function might also provide some input at specific stages of the RAF development.</w:t>
      </w:r>
    </w:p>
  </w:footnote>
  <w:footnote w:id="14">
    <w:p w:rsidR="00B24972" w:rsidRDefault="00B24972">
      <w:pPr>
        <w:pStyle w:val="Sprotnaopomba-besedilo"/>
      </w:pPr>
      <w:r w:rsidRPr="006E5173">
        <w:rPr>
          <w:rStyle w:val="Sprotnaopomba-sklic"/>
          <w:sz w:val="18"/>
        </w:rPr>
        <w:footnoteRef/>
      </w:r>
      <w:r w:rsidRPr="006E5173">
        <w:rPr>
          <w:sz w:val="18"/>
        </w:rPr>
        <w:t xml:space="preserve"> Please see Graph E under II. B. iii. for some examples of risk indicators.</w:t>
      </w:r>
    </w:p>
  </w:footnote>
  <w:footnote w:id="15">
    <w:p w:rsidR="00B24972" w:rsidRDefault="00B24972">
      <w:pPr>
        <w:pStyle w:val="Sprotnaopomba-besedilo"/>
      </w:pPr>
      <w:r w:rsidRPr="00620CC1">
        <w:rPr>
          <w:rStyle w:val="Sprotnaopomba-sklic"/>
          <w:sz w:val="18"/>
        </w:rPr>
        <w:footnoteRef/>
      </w:r>
      <w:r w:rsidRPr="00620CC1">
        <w:rPr>
          <w:sz w:val="18"/>
        </w:rPr>
        <w:t xml:space="preserve"> For more details please </w:t>
      </w:r>
      <w:r w:rsidRPr="00970675">
        <w:rPr>
          <w:sz w:val="18"/>
        </w:rPr>
        <w:t>see under II. C. i. below.</w:t>
      </w:r>
    </w:p>
  </w:footnote>
  <w:footnote w:id="16">
    <w:p w:rsidR="00B24972" w:rsidRDefault="00B24972" w:rsidP="00442C51">
      <w:pPr>
        <w:pStyle w:val="Sprotnaopomba-besedilo"/>
        <w:jc w:val="both"/>
      </w:pPr>
      <w:r w:rsidRPr="00442C51">
        <w:rPr>
          <w:rStyle w:val="Sprotnaopomba-sklic"/>
          <w:sz w:val="18"/>
        </w:rPr>
        <w:footnoteRef/>
      </w:r>
      <w:r w:rsidRPr="00442C51">
        <w:rPr>
          <w:sz w:val="18"/>
        </w:rPr>
        <w:t xml:space="preserve"> </w:t>
      </w:r>
      <w:r>
        <w:rPr>
          <w:sz w:val="18"/>
        </w:rPr>
        <w:t>Please see our discussion of the merged committee under II. A. i. above.</w:t>
      </w:r>
    </w:p>
  </w:footnote>
  <w:footnote w:id="17">
    <w:p w:rsidR="00B24972" w:rsidRDefault="00B24972" w:rsidP="00E2552E">
      <w:pPr>
        <w:pStyle w:val="Sprotnaopomba-besedilo"/>
        <w:jc w:val="both"/>
      </w:pPr>
      <w:r>
        <w:rPr>
          <w:rStyle w:val="Sprotnaopomba-sklic"/>
        </w:rPr>
        <w:footnoteRef/>
      </w:r>
      <w:r>
        <w:t xml:space="preserve"> </w:t>
      </w:r>
      <w:r w:rsidRPr="00E2552E">
        <w:rPr>
          <w:sz w:val="18"/>
        </w:rPr>
        <w:t xml:space="preserve">See the definition of RAP thresholds and limits </w:t>
      </w:r>
      <w:r w:rsidRPr="00B07A6B">
        <w:rPr>
          <w:sz w:val="18"/>
        </w:rPr>
        <w:t>under I. C. above.</w:t>
      </w:r>
    </w:p>
  </w:footnote>
  <w:footnote w:id="18">
    <w:p w:rsidR="00C84CE4" w:rsidRDefault="00C84CE4" w:rsidP="00DE3E87">
      <w:pPr>
        <w:pStyle w:val="Sprotnaopomba-besedilo"/>
        <w:jc w:val="both"/>
      </w:pPr>
      <w:r w:rsidRPr="00DE3E87">
        <w:rPr>
          <w:rStyle w:val="Sprotnaopomba-sklic"/>
          <w:sz w:val="18"/>
        </w:rPr>
        <w:footnoteRef/>
      </w:r>
      <w:r w:rsidRPr="00DE3E87">
        <w:rPr>
          <w:sz w:val="18"/>
        </w:rPr>
        <w:t xml:space="preserve"> The ICAAP/ILAAP system also includes forward</w:t>
      </w:r>
      <w:r w:rsidR="00547F95">
        <w:rPr>
          <w:sz w:val="18"/>
        </w:rPr>
        <w:t>-</w:t>
      </w:r>
      <w:r w:rsidRPr="00DE3E87">
        <w:rPr>
          <w:sz w:val="18"/>
        </w:rPr>
        <w:t xml:space="preserve">looking elements such as stress testing and capital planning. However, it is always anchored on the current risk profile, </w:t>
      </w:r>
      <w:r w:rsidRPr="00DE3E87">
        <w:rPr>
          <w:i/>
          <w:sz w:val="18"/>
        </w:rPr>
        <w:t>not</w:t>
      </w:r>
      <w:r w:rsidRPr="00DE3E87">
        <w:rPr>
          <w:sz w:val="18"/>
        </w:rPr>
        <w:t xml:space="preserve"> on the bank’s strategic objectives. The RAP framework reflects and is calibrated on the latter rather than the former. </w:t>
      </w:r>
    </w:p>
  </w:footnote>
  <w:footnote w:id="19">
    <w:p w:rsidR="00B24972" w:rsidRPr="0093585B" w:rsidRDefault="00B24972" w:rsidP="0093585B">
      <w:pPr>
        <w:pStyle w:val="Sprotnaopomba-besedilo"/>
        <w:jc w:val="both"/>
      </w:pPr>
      <w:r w:rsidRPr="0093585B">
        <w:rPr>
          <w:rStyle w:val="Sprotnaopomba-sklic"/>
        </w:rPr>
        <w:footnoteRef/>
      </w:r>
      <w:r w:rsidRPr="0093585B">
        <w:t xml:space="preserve"> </w:t>
      </w:r>
      <w:r w:rsidRPr="0093585B">
        <w:rPr>
          <w:sz w:val="18"/>
        </w:rPr>
        <w:t>EBA, Guidelines on the Range of Scenarios to be Used in Recovery Plans, 2014, p 8.</w:t>
      </w:r>
    </w:p>
  </w:footnote>
  <w:footnote w:id="20">
    <w:p w:rsidR="009D49FD" w:rsidRDefault="009D49FD">
      <w:pPr>
        <w:pStyle w:val="Sprotnaopomba-besedilo"/>
      </w:pPr>
      <w:r w:rsidRPr="00E733E1">
        <w:rPr>
          <w:rStyle w:val="Sprotnaopomba-sklic"/>
          <w:sz w:val="18"/>
        </w:rPr>
        <w:footnoteRef/>
      </w:r>
      <w:r w:rsidRPr="00E733E1">
        <w:rPr>
          <w:sz w:val="18"/>
        </w:rPr>
        <w:t xml:space="preserve"> Co</w:t>
      </w:r>
      <w:r w:rsidR="00550D4B" w:rsidRPr="00E733E1">
        <w:rPr>
          <w:sz w:val="18"/>
        </w:rPr>
        <w:t>-o</w:t>
      </w:r>
      <w:r w:rsidRPr="00E733E1">
        <w:rPr>
          <w:sz w:val="18"/>
        </w:rPr>
        <w:t>rdination in planning does not mean identical triggers/thresholds. Typically</w:t>
      </w:r>
      <w:r w:rsidR="00ED3287" w:rsidRPr="00E733E1">
        <w:rPr>
          <w:sz w:val="18"/>
        </w:rPr>
        <w:t>,</w:t>
      </w:r>
      <w:r w:rsidRPr="00E733E1">
        <w:rPr>
          <w:sz w:val="18"/>
        </w:rPr>
        <w:t xml:space="preserve"> the recovery triggers would be stricter than the risk capacity thresholds. Please </w:t>
      </w:r>
      <w:r w:rsidR="00C226A4">
        <w:rPr>
          <w:sz w:val="18"/>
        </w:rPr>
        <w:t xml:space="preserve">also </w:t>
      </w:r>
      <w:r w:rsidRPr="00E733E1">
        <w:rPr>
          <w:sz w:val="18"/>
        </w:rPr>
        <w:t xml:space="preserve">see </w:t>
      </w:r>
      <w:r w:rsidR="00C226A4">
        <w:rPr>
          <w:sz w:val="18"/>
        </w:rPr>
        <w:t xml:space="preserve">the </w:t>
      </w:r>
      <w:r w:rsidRPr="00E733E1">
        <w:rPr>
          <w:sz w:val="18"/>
        </w:rPr>
        <w:t xml:space="preserve">discussion below in paragraphs </w:t>
      </w:r>
      <w:r w:rsidR="00C226A4" w:rsidRPr="001F7D34">
        <w:rPr>
          <w:sz w:val="18"/>
        </w:rPr>
        <w:t>5</w:t>
      </w:r>
      <w:r w:rsidR="00AB73DE">
        <w:rPr>
          <w:sz w:val="18"/>
        </w:rPr>
        <w:t>5</w:t>
      </w:r>
      <w:r w:rsidR="00C226A4" w:rsidRPr="001F7D34">
        <w:rPr>
          <w:sz w:val="18"/>
        </w:rPr>
        <w:t>-</w:t>
      </w:r>
      <w:r w:rsidR="00AB73DE">
        <w:rPr>
          <w:sz w:val="18"/>
        </w:rPr>
        <w:t>60</w:t>
      </w:r>
      <w:r w:rsidR="00C226A4" w:rsidRPr="001F7D34">
        <w:rPr>
          <w:sz w:val="18"/>
        </w:rPr>
        <w:t>.</w:t>
      </w:r>
    </w:p>
  </w:footnote>
  <w:footnote w:id="21">
    <w:p w:rsidR="00B24972" w:rsidRDefault="00B24972">
      <w:pPr>
        <w:pStyle w:val="Sprotnaopomba-besedilo"/>
      </w:pPr>
      <w:r>
        <w:rPr>
          <w:rStyle w:val="Sprotnaopomba-sklic"/>
        </w:rPr>
        <w:footnoteRef/>
      </w:r>
      <w:r>
        <w:t xml:space="preserve"> </w:t>
      </w:r>
      <w:r w:rsidRPr="00862A5D">
        <w:rPr>
          <w:sz w:val="18"/>
        </w:rPr>
        <w:t>Alternatively, this could also be calculated in loss amounts.</w:t>
      </w:r>
    </w:p>
  </w:footnote>
  <w:footnote w:id="22">
    <w:p w:rsidR="00B24972" w:rsidRDefault="00B24972" w:rsidP="000312EE">
      <w:pPr>
        <w:pStyle w:val="Sprotnaopomba-besedilo"/>
        <w:jc w:val="both"/>
      </w:pPr>
      <w:r>
        <w:rPr>
          <w:rStyle w:val="Sprotnaopomba-sklic"/>
        </w:rPr>
        <w:footnoteRef/>
      </w:r>
      <w:r>
        <w:t xml:space="preserve"> </w:t>
      </w:r>
      <w:r w:rsidRPr="000312EE">
        <w:rPr>
          <w:sz w:val="18"/>
          <w:szCs w:val="18"/>
        </w:rPr>
        <w:t xml:space="preserve">For further details please see our discussion </w:t>
      </w:r>
      <w:r w:rsidRPr="00FC6D93">
        <w:rPr>
          <w:sz w:val="18"/>
          <w:szCs w:val="18"/>
        </w:rPr>
        <w:t>under Section II. B. iii.</w:t>
      </w:r>
    </w:p>
  </w:footnote>
  <w:footnote w:id="23">
    <w:p w:rsidR="00B24972" w:rsidRPr="0056039C" w:rsidRDefault="00B24972" w:rsidP="00082AE1">
      <w:pPr>
        <w:pStyle w:val="Sprotnaopomba-besedilo"/>
        <w:jc w:val="both"/>
        <w:rPr>
          <w:sz w:val="18"/>
          <w:szCs w:val="18"/>
        </w:rPr>
      </w:pPr>
      <w:r w:rsidRPr="0056039C">
        <w:rPr>
          <w:rStyle w:val="Sprotnaopomba-sklic"/>
          <w:sz w:val="18"/>
          <w:szCs w:val="18"/>
        </w:rPr>
        <w:footnoteRef/>
      </w:r>
      <w:r w:rsidRPr="0056039C">
        <w:rPr>
          <w:sz w:val="18"/>
          <w:szCs w:val="18"/>
        </w:rPr>
        <w:t xml:space="preserve"> FSB, Principles for An Effective Risk Appetite Framework, 2013, p 6; SSM Supervisory Statement, p 16.</w:t>
      </w:r>
    </w:p>
  </w:footnote>
  <w:footnote w:id="24">
    <w:p w:rsidR="00B24972" w:rsidRPr="0056039C" w:rsidRDefault="00B24972" w:rsidP="009A4A59">
      <w:pPr>
        <w:pStyle w:val="Sprotnaopomba-besedilo"/>
        <w:rPr>
          <w:sz w:val="18"/>
          <w:szCs w:val="18"/>
        </w:rPr>
      </w:pPr>
      <w:r w:rsidRPr="0056039C">
        <w:rPr>
          <w:rStyle w:val="Sprotnaopomba-sklic"/>
          <w:sz w:val="18"/>
          <w:szCs w:val="18"/>
        </w:rPr>
        <w:footnoteRef/>
      </w:r>
      <w:r w:rsidRPr="0056039C">
        <w:rPr>
          <w:sz w:val="18"/>
          <w:szCs w:val="18"/>
        </w:rPr>
        <w:t xml:space="preserve"> SSM Supervisory Statement, p 16.</w:t>
      </w:r>
    </w:p>
  </w:footnote>
  <w:footnote w:id="25">
    <w:p w:rsidR="00B24972" w:rsidRPr="0056039C" w:rsidRDefault="00B24972" w:rsidP="009A4A59">
      <w:pPr>
        <w:pStyle w:val="Sprotnaopomba-besedilo"/>
        <w:rPr>
          <w:sz w:val="18"/>
          <w:szCs w:val="18"/>
        </w:rPr>
      </w:pPr>
      <w:r w:rsidRPr="0056039C">
        <w:rPr>
          <w:rStyle w:val="Sprotnaopomba-sklic"/>
          <w:sz w:val="18"/>
          <w:szCs w:val="18"/>
        </w:rPr>
        <w:footnoteRef/>
      </w:r>
      <w:r w:rsidRPr="0056039C">
        <w:rPr>
          <w:sz w:val="18"/>
          <w:szCs w:val="18"/>
        </w:rPr>
        <w:t xml:space="preserve"> FSB, Principles for An Effective Risk Appetite Framework, 2013, p 6, footnote no 9.</w:t>
      </w:r>
    </w:p>
  </w:footnote>
  <w:footnote w:id="26">
    <w:p w:rsidR="00B24972" w:rsidRDefault="00B24972" w:rsidP="003A5F7F">
      <w:pPr>
        <w:pStyle w:val="Sprotnaopomba-besedilo"/>
        <w:jc w:val="both"/>
      </w:pPr>
      <w:r w:rsidRPr="003A5F7F">
        <w:rPr>
          <w:rStyle w:val="Sprotnaopomba-sklic"/>
          <w:sz w:val="18"/>
        </w:rPr>
        <w:footnoteRef/>
      </w:r>
      <w:r w:rsidRPr="003A5F7F">
        <w:rPr>
          <w:sz w:val="18"/>
        </w:rPr>
        <w:t xml:space="preserve"> Reputational risk is defined as the additional negative economic impact that you might have in terms of business loss/foregone profits because of reduced trust in the firm’s integrity and competence due to the materialisation of another risk.</w:t>
      </w:r>
    </w:p>
  </w:footnote>
  <w:footnote w:id="27">
    <w:p w:rsidR="00B24972" w:rsidRPr="0056039C" w:rsidRDefault="00B24972" w:rsidP="007A1C30">
      <w:pPr>
        <w:pStyle w:val="Sprotnaopomba-besedilo"/>
        <w:rPr>
          <w:sz w:val="18"/>
          <w:szCs w:val="18"/>
        </w:rPr>
      </w:pPr>
      <w:r w:rsidRPr="0056039C">
        <w:rPr>
          <w:rStyle w:val="Sprotnaopomba-sklic"/>
          <w:sz w:val="18"/>
          <w:szCs w:val="18"/>
        </w:rPr>
        <w:footnoteRef/>
      </w:r>
      <w:r w:rsidRPr="0056039C">
        <w:rPr>
          <w:sz w:val="18"/>
          <w:szCs w:val="18"/>
        </w:rPr>
        <w:t xml:space="preserve"> SSM Supervisory Statement, p 16.</w:t>
      </w:r>
    </w:p>
  </w:footnote>
  <w:footnote w:id="28">
    <w:p w:rsidR="00B24972" w:rsidRPr="0056039C" w:rsidRDefault="00B24972" w:rsidP="007A1C30">
      <w:pPr>
        <w:pStyle w:val="Sprotnaopomba-besedilo"/>
        <w:rPr>
          <w:sz w:val="18"/>
          <w:szCs w:val="18"/>
        </w:rPr>
      </w:pPr>
      <w:r w:rsidRPr="0056039C">
        <w:rPr>
          <w:rStyle w:val="Sprotnaopomba-sklic"/>
          <w:sz w:val="18"/>
          <w:szCs w:val="18"/>
        </w:rPr>
        <w:footnoteRef/>
      </w:r>
      <w:r w:rsidRPr="0056039C">
        <w:rPr>
          <w:sz w:val="18"/>
          <w:szCs w:val="18"/>
        </w:rPr>
        <w:t xml:space="preserve"> FSB, Principles for An Effective Risk Appetite Framework, 2013, p 6, footnote no 9.</w:t>
      </w:r>
    </w:p>
  </w:footnote>
  <w:footnote w:id="29">
    <w:p w:rsidR="00B24972" w:rsidRPr="0056039C" w:rsidRDefault="00B24972" w:rsidP="00A470F5">
      <w:pPr>
        <w:pStyle w:val="Sprotnaopomba-besedilo"/>
        <w:jc w:val="both"/>
        <w:rPr>
          <w:sz w:val="18"/>
          <w:szCs w:val="18"/>
        </w:rPr>
      </w:pPr>
      <w:r w:rsidRPr="0056039C">
        <w:rPr>
          <w:rStyle w:val="Sprotnaopomba-sklic"/>
          <w:sz w:val="18"/>
          <w:szCs w:val="18"/>
        </w:rPr>
        <w:footnoteRef/>
      </w:r>
      <w:r w:rsidRPr="0056039C">
        <w:rPr>
          <w:sz w:val="18"/>
          <w:szCs w:val="18"/>
        </w:rPr>
        <w:t xml:space="preserve"> FSB, Principles for An Effective Risk Appetite Framework; p 4. SSM Supervisory Statement, p 17.</w:t>
      </w:r>
    </w:p>
  </w:footnote>
  <w:footnote w:id="30">
    <w:p w:rsidR="00B24972" w:rsidRPr="0056039C" w:rsidRDefault="00B24972" w:rsidP="006B4E72">
      <w:pPr>
        <w:pStyle w:val="Sprotnaopomba-besedilo"/>
        <w:jc w:val="both"/>
        <w:rPr>
          <w:sz w:val="18"/>
          <w:szCs w:val="18"/>
        </w:rPr>
      </w:pPr>
      <w:r w:rsidRPr="0056039C">
        <w:rPr>
          <w:rStyle w:val="Sprotnaopomba-sklic"/>
          <w:sz w:val="18"/>
          <w:szCs w:val="18"/>
        </w:rPr>
        <w:footnoteRef/>
      </w:r>
      <w:r w:rsidRPr="0056039C">
        <w:rPr>
          <w:sz w:val="18"/>
          <w:szCs w:val="18"/>
        </w:rPr>
        <w:t xml:space="preserve"> SSM Supervisory Statement, p 17. The ECB uses a slightly different terminology here (“early warning thresholds”). For the sake of clarity and to differentiate these additional boundaries from the </w:t>
      </w:r>
      <w:r>
        <w:rPr>
          <w:sz w:val="18"/>
          <w:szCs w:val="18"/>
        </w:rPr>
        <w:t>RAP</w:t>
      </w:r>
      <w:r w:rsidRPr="0056039C">
        <w:rPr>
          <w:sz w:val="18"/>
          <w:szCs w:val="18"/>
        </w:rPr>
        <w:t xml:space="preserve"> thresholds referenced above in the text, we will refer to them as </w:t>
      </w:r>
      <w:r w:rsidRPr="0056039C">
        <w:rPr>
          <w:i/>
          <w:sz w:val="18"/>
          <w:szCs w:val="18"/>
        </w:rPr>
        <w:t>early warning triggers</w:t>
      </w:r>
      <w:r w:rsidRPr="0056039C">
        <w:rPr>
          <w:sz w:val="18"/>
          <w:szCs w:val="18"/>
        </w:rPr>
        <w:t>.</w:t>
      </w:r>
    </w:p>
  </w:footnote>
  <w:footnote w:id="31">
    <w:p w:rsidR="00B24972" w:rsidRPr="0056039C" w:rsidRDefault="00B24972" w:rsidP="00682221">
      <w:pPr>
        <w:pStyle w:val="Sprotnaopomba-besedilo"/>
        <w:rPr>
          <w:sz w:val="18"/>
          <w:szCs w:val="18"/>
        </w:rPr>
      </w:pPr>
      <w:r w:rsidRPr="0056039C">
        <w:rPr>
          <w:rStyle w:val="Sprotnaopomba-sklic"/>
          <w:sz w:val="18"/>
          <w:szCs w:val="18"/>
        </w:rPr>
        <w:footnoteRef/>
      </w:r>
      <w:r w:rsidRPr="0056039C">
        <w:rPr>
          <w:sz w:val="18"/>
          <w:szCs w:val="18"/>
        </w:rPr>
        <w:t xml:space="preserve"> FSB, Principles for An Effective Risk Appetite Framework, p 1.</w:t>
      </w:r>
    </w:p>
  </w:footnote>
  <w:footnote w:id="32">
    <w:p w:rsidR="00B24972" w:rsidRPr="0056039C" w:rsidRDefault="00B24972" w:rsidP="00682221">
      <w:pPr>
        <w:pStyle w:val="Sprotnaopomba-besedilo"/>
        <w:rPr>
          <w:sz w:val="18"/>
          <w:szCs w:val="18"/>
        </w:rPr>
      </w:pPr>
      <w:r w:rsidRPr="0056039C">
        <w:rPr>
          <w:rStyle w:val="Sprotnaopomba-sklic"/>
          <w:sz w:val="18"/>
          <w:szCs w:val="18"/>
        </w:rPr>
        <w:footnoteRef/>
      </w:r>
      <w:r w:rsidRPr="0056039C">
        <w:rPr>
          <w:sz w:val="18"/>
          <w:szCs w:val="18"/>
        </w:rPr>
        <w:t xml:space="preserve"> SSM Supervisory Statement, p 17.</w:t>
      </w:r>
    </w:p>
  </w:footnote>
  <w:footnote w:id="33">
    <w:p w:rsidR="00B24972" w:rsidRDefault="00B24972">
      <w:pPr>
        <w:pStyle w:val="Sprotnaopomba-besedilo"/>
      </w:pPr>
      <w:r>
        <w:rPr>
          <w:rStyle w:val="Sprotnaopomba-sklic"/>
        </w:rPr>
        <w:footnoteRef/>
      </w:r>
      <w:r>
        <w:t xml:space="preserve"> </w:t>
      </w:r>
      <w:r w:rsidRPr="0081748A">
        <w:rPr>
          <w:sz w:val="18"/>
        </w:rPr>
        <w:t>Directive 2013/36/EU</w:t>
      </w:r>
      <w:r>
        <w:rPr>
          <w:sz w:val="18"/>
        </w:rPr>
        <w:t>.</w:t>
      </w:r>
    </w:p>
  </w:footnote>
  <w:footnote w:id="34">
    <w:p w:rsidR="00B24972" w:rsidRPr="0056039C" w:rsidRDefault="00B24972" w:rsidP="007135A9">
      <w:pPr>
        <w:pStyle w:val="Sprotnaopomba-besedilo"/>
        <w:rPr>
          <w:sz w:val="18"/>
          <w:szCs w:val="18"/>
        </w:rPr>
      </w:pPr>
      <w:r w:rsidRPr="0056039C">
        <w:rPr>
          <w:rStyle w:val="Sprotnaopomba-sklic"/>
          <w:sz w:val="18"/>
          <w:szCs w:val="18"/>
        </w:rPr>
        <w:footnoteRef/>
      </w:r>
      <w:r w:rsidRPr="0056039C">
        <w:rPr>
          <w:sz w:val="18"/>
          <w:szCs w:val="18"/>
        </w:rPr>
        <w:t xml:space="preserve"> SSM Supervisory Statement, p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72" w:rsidRDefault="00B24972"/>
  <w:p w:rsidR="00B24972" w:rsidRDefault="00B249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05" w:type="dxa"/>
      <w:tblInd w:w="-2232" w:type="dxa"/>
      <w:tblLook w:val="01E0" w:firstRow="1" w:lastRow="1" w:firstColumn="1" w:lastColumn="1" w:noHBand="0" w:noVBand="0"/>
    </w:tblPr>
    <w:tblGrid>
      <w:gridCol w:w="621"/>
      <w:gridCol w:w="12484"/>
    </w:tblGrid>
    <w:tr w:rsidR="00B24972" w:rsidRPr="000B2C90" w:rsidTr="624C5C71">
      <w:trPr>
        <w:trHeight w:val="719"/>
      </w:trPr>
      <w:tc>
        <w:tcPr>
          <w:tcW w:w="13105" w:type="dxa"/>
          <w:gridSpan w:val="2"/>
          <w:shd w:val="clear" w:color="auto" w:fill="E6E6E6"/>
        </w:tcPr>
        <w:p w:rsidR="00B24972" w:rsidRPr="000B2C90" w:rsidRDefault="00B24972">
          <w:pPr>
            <w:rPr>
              <w:rFonts w:ascii="Calibri" w:hAnsi="Calibri"/>
            </w:rPr>
          </w:pPr>
        </w:p>
      </w:tc>
    </w:tr>
    <w:tr w:rsidR="00B24972" w:rsidRPr="000B2C90" w:rsidTr="624C5C71">
      <w:tc>
        <w:tcPr>
          <w:tcW w:w="621" w:type="dxa"/>
          <w:shd w:val="clear" w:color="auto" w:fill="7D96BE"/>
        </w:tcPr>
        <w:p w:rsidR="00B24972" w:rsidRPr="000B2C90" w:rsidRDefault="00B24972">
          <w:pPr>
            <w:rPr>
              <w:rFonts w:ascii="Calibri" w:hAnsi="Calibri"/>
            </w:rPr>
          </w:pPr>
        </w:p>
      </w:tc>
      <w:tc>
        <w:tcPr>
          <w:tcW w:w="12484" w:type="dxa"/>
          <w:shd w:val="clear" w:color="auto" w:fill="F3F3F3"/>
        </w:tcPr>
        <w:p w:rsidR="00B24972" w:rsidRPr="000B2C90" w:rsidRDefault="00B24972" w:rsidP="00DA3953">
          <w:pPr>
            <w:tabs>
              <w:tab w:val="right" w:pos="10773"/>
            </w:tabs>
            <w:ind w:right="1477"/>
            <w:rPr>
              <w:rFonts w:ascii="Calibri" w:hAnsi="Calibri"/>
              <w:b/>
              <w:bCs/>
            </w:rPr>
          </w:pPr>
          <w:r>
            <w:rPr>
              <w:rFonts w:ascii="Calibri" w:hAnsi="Calibri"/>
              <w:b/>
              <w:bCs/>
            </w:rPr>
            <w:t>RAF Guidelines</w:t>
          </w:r>
          <w:r w:rsidRPr="000B2C90">
            <w:rPr>
              <w:rFonts w:ascii="Calibri" w:hAnsi="Calibri"/>
              <w:b/>
              <w:bCs/>
            </w:rPr>
            <w:tab/>
          </w:r>
        </w:p>
      </w:tc>
    </w:tr>
  </w:tbl>
  <w:p w:rsidR="00B24972" w:rsidRPr="000B2C90" w:rsidRDefault="00B24972" w:rsidP="00CF1F54">
    <w:pP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72" w:rsidRDefault="00B249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72" w:rsidRDefault="00B249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05" w:type="dxa"/>
      <w:tblInd w:w="-2232" w:type="dxa"/>
      <w:tblLook w:val="01E0" w:firstRow="1" w:lastRow="1" w:firstColumn="1" w:lastColumn="1" w:noHBand="0" w:noVBand="0"/>
    </w:tblPr>
    <w:tblGrid>
      <w:gridCol w:w="621"/>
      <w:gridCol w:w="12484"/>
    </w:tblGrid>
    <w:tr w:rsidR="00B24972" w:rsidRPr="000B2C90" w:rsidTr="624C5C71">
      <w:trPr>
        <w:trHeight w:val="719"/>
      </w:trPr>
      <w:tc>
        <w:tcPr>
          <w:tcW w:w="13105" w:type="dxa"/>
          <w:gridSpan w:val="2"/>
          <w:shd w:val="clear" w:color="auto" w:fill="E6E6E6"/>
        </w:tcPr>
        <w:p w:rsidR="00B24972" w:rsidRPr="000B2C90" w:rsidRDefault="00B24972">
          <w:pPr>
            <w:rPr>
              <w:rFonts w:ascii="Calibri" w:hAnsi="Calibri"/>
            </w:rPr>
          </w:pPr>
        </w:p>
      </w:tc>
    </w:tr>
    <w:tr w:rsidR="00B24972" w:rsidRPr="000B2C90" w:rsidTr="624C5C71">
      <w:tc>
        <w:tcPr>
          <w:tcW w:w="621" w:type="dxa"/>
          <w:shd w:val="clear" w:color="auto" w:fill="7D96BE"/>
        </w:tcPr>
        <w:p w:rsidR="00B24972" w:rsidRPr="000B2C90" w:rsidRDefault="00B24972">
          <w:pPr>
            <w:rPr>
              <w:rFonts w:ascii="Calibri" w:hAnsi="Calibri"/>
            </w:rPr>
          </w:pPr>
        </w:p>
      </w:tc>
      <w:tc>
        <w:tcPr>
          <w:tcW w:w="12484" w:type="dxa"/>
          <w:shd w:val="clear" w:color="auto" w:fill="F3F3F3"/>
        </w:tcPr>
        <w:p w:rsidR="00B24972" w:rsidRPr="000B2C90" w:rsidRDefault="00B24972" w:rsidP="00242616">
          <w:pPr>
            <w:tabs>
              <w:tab w:val="right" w:pos="10773"/>
            </w:tabs>
            <w:ind w:right="1477"/>
            <w:rPr>
              <w:rFonts w:ascii="Calibri" w:hAnsi="Calibri"/>
              <w:b/>
              <w:bCs/>
            </w:rPr>
          </w:pPr>
          <w:r w:rsidRPr="00A818E5">
            <w:rPr>
              <w:rFonts w:ascii="Calibri" w:hAnsi="Calibri"/>
              <w:b/>
              <w:bCs/>
            </w:rPr>
            <w:t xml:space="preserve">RAF </w:t>
          </w:r>
          <w:r w:rsidR="00242616">
            <w:rPr>
              <w:rFonts w:ascii="Calibri" w:hAnsi="Calibri"/>
              <w:b/>
              <w:bCs/>
            </w:rPr>
            <w:t>Guidelines</w:t>
          </w:r>
          <w:r w:rsidRPr="000B2C90">
            <w:rPr>
              <w:rFonts w:ascii="Calibri" w:hAnsi="Calibri"/>
              <w:b/>
              <w:bCs/>
            </w:rPr>
            <w:tab/>
          </w:r>
        </w:p>
      </w:tc>
    </w:tr>
  </w:tbl>
  <w:p w:rsidR="00B24972" w:rsidRPr="000B2C90" w:rsidRDefault="00B24972" w:rsidP="00CF1F54">
    <w:pP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72" w:rsidRDefault="00B2497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586"/>
    <w:multiLevelType w:val="multilevel"/>
    <w:tmpl w:val="BD7EFDE6"/>
    <w:lvl w:ilvl="0">
      <w:start w:val="1"/>
      <w:numFmt w:val="bullet"/>
      <w:lvlText w:val=""/>
      <w:lvlJc w:val="left"/>
      <w:pPr>
        <w:tabs>
          <w:tab w:val="num" w:pos="570"/>
        </w:tabs>
        <w:ind w:left="570" w:hanging="570"/>
      </w:pPr>
      <w:rPr>
        <w:rFonts w:ascii="Wingdings" w:hAnsi="Wingdings" w:hint="default"/>
        <w:color w:val="auto"/>
      </w:rPr>
    </w:lvl>
    <w:lvl w:ilvl="1">
      <w:start w:val="1"/>
      <w:numFmt w:val="bullet"/>
      <w:pStyle w:val="NeAdbullet-level2"/>
      <w:lvlText w:val="►"/>
      <w:lvlJc w:val="left"/>
      <w:pPr>
        <w:tabs>
          <w:tab w:val="num" w:pos="567"/>
        </w:tabs>
        <w:ind w:left="1134" w:hanging="567"/>
      </w:pPr>
      <w:rPr>
        <w:rFonts w:ascii="Arial" w:hAnsi="Arial" w:hint="default"/>
        <w:color w:val="C7A33C"/>
        <w:sz w:val="16"/>
      </w:rPr>
    </w:lvl>
    <w:lvl w:ilvl="2">
      <w:start w:val="1"/>
      <w:numFmt w:val="bullet"/>
      <w:lvlText w:val="-"/>
      <w:lvlJc w:val="left"/>
      <w:pPr>
        <w:tabs>
          <w:tab w:val="num" w:pos="1718"/>
        </w:tabs>
        <w:ind w:left="1718" w:hanging="573"/>
      </w:pPr>
      <w:rPr>
        <w:rFonts w:ascii="Times New Roman" w:hAnsi="Times New Roman" w:hint="default"/>
        <w:color w:val="auto"/>
      </w:rPr>
    </w:lvl>
    <w:lvl w:ilvl="3">
      <w:start w:val="1"/>
      <w:numFmt w:val="bullet"/>
      <w:lvlText w:val="-"/>
      <w:lvlJc w:val="left"/>
      <w:pPr>
        <w:tabs>
          <w:tab w:val="num" w:pos="2291"/>
        </w:tabs>
        <w:ind w:left="2291" w:hanging="573"/>
      </w:pPr>
      <w:rPr>
        <w:rFonts w:ascii="Times New Roman" w:hAnsi="Times New Roman" w:hint="default"/>
        <w:color w:val="auto"/>
      </w:rPr>
    </w:lvl>
    <w:lvl w:ilvl="4">
      <w:start w:val="1"/>
      <w:numFmt w:val="bullet"/>
      <w:lvlText w:val="-"/>
      <w:lvlJc w:val="left"/>
      <w:pPr>
        <w:tabs>
          <w:tab w:val="num" w:pos="2863"/>
        </w:tabs>
        <w:ind w:left="2863" w:hanging="572"/>
      </w:pPr>
      <w:rPr>
        <w:rFonts w:ascii="Times New Roman" w:hAnsi="Times New Roman" w:hint="default"/>
        <w:color w:val="auto"/>
      </w:rPr>
    </w:lvl>
    <w:lvl w:ilvl="5">
      <w:start w:val="1"/>
      <w:numFmt w:val="bullet"/>
      <w:lvlText w:val="-"/>
      <w:lvlJc w:val="left"/>
      <w:pPr>
        <w:tabs>
          <w:tab w:val="num" w:pos="3436"/>
        </w:tabs>
        <w:ind w:left="3436" w:hanging="573"/>
      </w:pPr>
      <w:rPr>
        <w:rFonts w:ascii="Times New Roman" w:hAnsi="Times New Roman" w:hint="default"/>
        <w:color w:val="auto"/>
      </w:rPr>
    </w:lvl>
    <w:lvl w:ilvl="6">
      <w:start w:val="1"/>
      <w:numFmt w:val="bullet"/>
      <w:lvlText w:val="-"/>
      <w:lvlJc w:val="left"/>
      <w:pPr>
        <w:tabs>
          <w:tab w:val="num" w:pos="4009"/>
        </w:tabs>
        <w:ind w:left="4009" w:hanging="573"/>
      </w:pPr>
      <w:rPr>
        <w:rFonts w:ascii="Times New Roman" w:hAnsi="Times New Roman" w:hint="default"/>
        <w:color w:val="auto"/>
      </w:rPr>
    </w:lvl>
    <w:lvl w:ilvl="7">
      <w:start w:val="1"/>
      <w:numFmt w:val="bullet"/>
      <w:lvlText w:val="-"/>
      <w:lvlJc w:val="left"/>
      <w:pPr>
        <w:tabs>
          <w:tab w:val="num" w:pos="4581"/>
        </w:tabs>
        <w:ind w:left="4581" w:hanging="572"/>
      </w:pPr>
      <w:rPr>
        <w:rFonts w:ascii="Times New Roman" w:hAnsi="Times New Roman" w:hint="default"/>
        <w:color w:val="auto"/>
      </w:rPr>
    </w:lvl>
    <w:lvl w:ilvl="8">
      <w:start w:val="1"/>
      <w:numFmt w:val="bullet"/>
      <w:lvlText w:val="-"/>
      <w:lvlJc w:val="left"/>
      <w:pPr>
        <w:tabs>
          <w:tab w:val="num" w:pos="5154"/>
        </w:tabs>
        <w:ind w:left="5154" w:hanging="573"/>
      </w:pPr>
      <w:rPr>
        <w:rFonts w:ascii="Times New Roman" w:hAnsi="Times New Roman" w:hint="default"/>
        <w:color w:val="auto"/>
      </w:rPr>
    </w:lvl>
  </w:abstractNum>
  <w:abstractNum w:abstractNumId="1" w15:restartNumberingAfterBreak="0">
    <w:nsid w:val="137C3006"/>
    <w:multiLevelType w:val="hybridMultilevel"/>
    <w:tmpl w:val="54B661B6"/>
    <w:lvl w:ilvl="0" w:tplc="8B105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908F1"/>
    <w:multiLevelType w:val="hybridMultilevel"/>
    <w:tmpl w:val="1BD4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55F09"/>
    <w:multiLevelType w:val="hybridMultilevel"/>
    <w:tmpl w:val="A698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424D4"/>
    <w:multiLevelType w:val="hybridMultilevel"/>
    <w:tmpl w:val="047A06A6"/>
    <w:lvl w:ilvl="0" w:tplc="92E00604">
      <w:start w:val="18"/>
      <w:numFmt w:val="bullet"/>
      <w:lvlText w:val="-"/>
      <w:lvlJc w:val="left"/>
      <w:pPr>
        <w:ind w:left="720" w:hanging="360"/>
      </w:pPr>
      <w:rPr>
        <w:rFonts w:ascii="Calibri" w:eastAsia="Times New Roman" w:hAnsi="Calibri"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56517"/>
    <w:multiLevelType w:val="hybridMultilevel"/>
    <w:tmpl w:val="3FDE7DF4"/>
    <w:lvl w:ilvl="0" w:tplc="21E00932">
      <w:start w:val="1"/>
      <w:numFmt w:val="decimal"/>
      <w:lvlText w:val="%1."/>
      <w:lvlJc w:val="left"/>
      <w:pPr>
        <w:ind w:left="720" w:hanging="360"/>
      </w:pPr>
      <w:rPr>
        <w:rFonts w:hint="default"/>
        <w:b/>
        <w:i/>
        <w:sz w:val="22"/>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773399"/>
    <w:multiLevelType w:val="hybridMultilevel"/>
    <w:tmpl w:val="C5FE5EFA"/>
    <w:lvl w:ilvl="0" w:tplc="F7BA4934">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EC1DF6"/>
    <w:multiLevelType w:val="hybridMultilevel"/>
    <w:tmpl w:val="22A6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A2776"/>
    <w:multiLevelType w:val="multilevel"/>
    <w:tmpl w:val="59A0BDD6"/>
    <w:lvl w:ilvl="0">
      <w:start w:val="1"/>
      <w:numFmt w:val="upperRoman"/>
      <w:pStyle w:val="NeAdH1"/>
      <w:lvlText w:val="%1."/>
      <w:lvlJc w:val="left"/>
      <w:pPr>
        <w:tabs>
          <w:tab w:val="num" w:pos="573"/>
        </w:tabs>
        <w:ind w:left="573" w:hanging="573"/>
      </w:pPr>
      <w:rPr>
        <w:rFonts w:hint="default"/>
      </w:rPr>
    </w:lvl>
    <w:lvl w:ilvl="1">
      <w:start w:val="1"/>
      <w:numFmt w:val="upperLetter"/>
      <w:pStyle w:val="NeAdH2"/>
      <w:lvlText w:val="%2."/>
      <w:lvlJc w:val="left"/>
      <w:pPr>
        <w:tabs>
          <w:tab w:val="num" w:pos="573"/>
        </w:tabs>
        <w:ind w:left="573" w:hanging="573"/>
      </w:pPr>
      <w:rPr>
        <w:rFonts w:hint="default"/>
      </w:rPr>
    </w:lvl>
    <w:lvl w:ilvl="2">
      <w:start w:val="1"/>
      <w:numFmt w:val="lowerRoman"/>
      <w:pStyle w:val="NeAdH3"/>
      <w:lvlText w:val="%3."/>
      <w:lvlJc w:val="left"/>
      <w:pPr>
        <w:tabs>
          <w:tab w:val="num" w:pos="1145"/>
        </w:tabs>
        <w:ind w:left="1145" w:hanging="572"/>
      </w:pPr>
      <w:rPr>
        <w:rFonts w:hint="default"/>
      </w:rPr>
    </w:lvl>
    <w:lvl w:ilvl="3">
      <w:start w:val="1"/>
      <w:numFmt w:val="lowerLetter"/>
      <w:pStyle w:val="NeAdH42"/>
      <w:lvlText w:val="%4."/>
      <w:lvlJc w:val="left"/>
      <w:pPr>
        <w:tabs>
          <w:tab w:val="num" w:pos="1718"/>
        </w:tabs>
        <w:ind w:left="1718" w:hanging="573"/>
      </w:pPr>
      <w:rPr>
        <w:rFonts w:hint="default"/>
      </w:rPr>
    </w:lvl>
    <w:lvl w:ilvl="4">
      <w:start w:val="1"/>
      <w:numFmt w:val="lowerLetter"/>
      <w:lvlText w:val="%5."/>
      <w:lvlJc w:val="left"/>
      <w:pPr>
        <w:tabs>
          <w:tab w:val="num" w:pos="2291"/>
        </w:tabs>
        <w:ind w:left="2291" w:hanging="573"/>
      </w:pPr>
      <w:rPr>
        <w:rFonts w:hint="default"/>
      </w:rPr>
    </w:lvl>
    <w:lvl w:ilvl="5">
      <w:start w:val="1"/>
      <w:numFmt w:val="lowerLetter"/>
      <w:lvlText w:val="%6."/>
      <w:lvlJc w:val="right"/>
      <w:pPr>
        <w:tabs>
          <w:tab w:val="num" w:pos="2863"/>
        </w:tabs>
        <w:ind w:left="2863" w:hanging="572"/>
      </w:pPr>
      <w:rPr>
        <w:rFonts w:hint="default"/>
      </w:rPr>
    </w:lvl>
    <w:lvl w:ilvl="6">
      <w:start w:val="1"/>
      <w:numFmt w:val="lowerLetter"/>
      <w:lvlText w:val="%7."/>
      <w:lvlJc w:val="left"/>
      <w:pPr>
        <w:tabs>
          <w:tab w:val="num" w:pos="3436"/>
        </w:tabs>
        <w:ind w:left="3436" w:hanging="573"/>
      </w:pPr>
      <w:rPr>
        <w:rFonts w:hint="default"/>
      </w:rPr>
    </w:lvl>
    <w:lvl w:ilvl="7">
      <w:start w:val="1"/>
      <w:numFmt w:val="lowerLetter"/>
      <w:lvlText w:val="%8."/>
      <w:lvlJc w:val="left"/>
      <w:pPr>
        <w:tabs>
          <w:tab w:val="num" w:pos="4009"/>
        </w:tabs>
        <w:ind w:left="4009" w:hanging="573"/>
      </w:pPr>
      <w:rPr>
        <w:rFonts w:hint="default"/>
      </w:rPr>
    </w:lvl>
    <w:lvl w:ilvl="8">
      <w:start w:val="1"/>
      <w:numFmt w:val="lowerLetter"/>
      <w:lvlText w:val="%9."/>
      <w:lvlJc w:val="right"/>
      <w:pPr>
        <w:tabs>
          <w:tab w:val="num" w:pos="4581"/>
        </w:tabs>
        <w:ind w:left="4581" w:hanging="572"/>
      </w:pPr>
      <w:rPr>
        <w:rFonts w:hint="default"/>
      </w:rPr>
    </w:lvl>
  </w:abstractNum>
  <w:abstractNum w:abstractNumId="9" w15:restartNumberingAfterBreak="0">
    <w:nsid w:val="401F1AA4"/>
    <w:multiLevelType w:val="multilevel"/>
    <w:tmpl w:val="04090023"/>
    <w:lvl w:ilvl="0">
      <w:start w:val="1"/>
      <w:numFmt w:val="upperRoman"/>
      <w:pStyle w:val="Naslov1"/>
      <w:lvlText w:val="Article %1."/>
      <w:lvlJc w:val="left"/>
      <w:pPr>
        <w:tabs>
          <w:tab w:val="num" w:pos="1440"/>
        </w:tabs>
        <w:ind w:left="0" w:firstLine="0"/>
      </w:pPr>
    </w:lvl>
    <w:lvl w:ilvl="1">
      <w:start w:val="1"/>
      <w:numFmt w:val="decimalZero"/>
      <w:pStyle w:val="Naslov2"/>
      <w:isLgl/>
      <w:lvlText w:val="Section %1.%2"/>
      <w:lvlJc w:val="left"/>
      <w:pPr>
        <w:tabs>
          <w:tab w:val="num" w:pos="1080"/>
        </w:tabs>
        <w:ind w:left="0" w:firstLine="0"/>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109306D"/>
    <w:multiLevelType w:val="multilevel"/>
    <w:tmpl w:val="E47E37A0"/>
    <w:lvl w:ilvl="0">
      <w:start w:val="1"/>
      <w:numFmt w:val="bullet"/>
      <w:pStyle w:val="NeAdbullet3"/>
      <w:lvlText w:val=""/>
      <w:lvlJc w:val="left"/>
      <w:pPr>
        <w:tabs>
          <w:tab w:val="num" w:pos="570"/>
        </w:tabs>
        <w:ind w:left="570" w:hanging="570"/>
      </w:pPr>
      <w:rPr>
        <w:rFonts w:ascii="Wingdings" w:hAnsi="Wingdings" w:hint="default"/>
        <w:color w:val="auto"/>
      </w:rPr>
    </w:lvl>
    <w:lvl w:ilvl="1">
      <w:start w:val="1"/>
      <w:numFmt w:val="bullet"/>
      <w:lvlText w:val=""/>
      <w:lvlJc w:val="left"/>
      <w:pPr>
        <w:tabs>
          <w:tab w:val="num" w:pos="1145"/>
        </w:tabs>
        <w:ind w:left="1145" w:hanging="572"/>
      </w:pPr>
      <w:rPr>
        <w:rFonts w:ascii="Symbol" w:hAnsi="Symbol" w:hint="default"/>
        <w:color w:val="auto"/>
      </w:rPr>
    </w:lvl>
    <w:lvl w:ilvl="2">
      <w:start w:val="1"/>
      <w:numFmt w:val="bullet"/>
      <w:pStyle w:val="NeAdbullet3"/>
      <w:lvlText w:val=""/>
      <w:lvlJc w:val="left"/>
      <w:pPr>
        <w:tabs>
          <w:tab w:val="num" w:pos="1559"/>
        </w:tabs>
        <w:ind w:left="1559" w:hanging="425"/>
      </w:pPr>
      <w:rPr>
        <w:rFonts w:ascii="Symbol" w:hAnsi="Symbol" w:hint="default"/>
        <w:color w:val="808080"/>
        <w:sz w:val="16"/>
      </w:rPr>
    </w:lvl>
    <w:lvl w:ilvl="3">
      <w:start w:val="1"/>
      <w:numFmt w:val="bullet"/>
      <w:lvlText w:val="-"/>
      <w:lvlJc w:val="left"/>
      <w:pPr>
        <w:tabs>
          <w:tab w:val="num" w:pos="2291"/>
        </w:tabs>
        <w:ind w:left="2291" w:hanging="573"/>
      </w:pPr>
      <w:rPr>
        <w:rFonts w:ascii="Times New Roman" w:hAnsi="Times New Roman" w:hint="default"/>
        <w:color w:val="auto"/>
      </w:rPr>
    </w:lvl>
    <w:lvl w:ilvl="4">
      <w:start w:val="1"/>
      <w:numFmt w:val="bullet"/>
      <w:lvlText w:val="-"/>
      <w:lvlJc w:val="left"/>
      <w:pPr>
        <w:tabs>
          <w:tab w:val="num" w:pos="2863"/>
        </w:tabs>
        <w:ind w:left="2863" w:hanging="572"/>
      </w:pPr>
      <w:rPr>
        <w:rFonts w:ascii="Times New Roman" w:hAnsi="Times New Roman" w:hint="default"/>
        <w:color w:val="auto"/>
      </w:rPr>
    </w:lvl>
    <w:lvl w:ilvl="5">
      <w:start w:val="1"/>
      <w:numFmt w:val="bullet"/>
      <w:lvlText w:val="-"/>
      <w:lvlJc w:val="left"/>
      <w:pPr>
        <w:tabs>
          <w:tab w:val="num" w:pos="3436"/>
        </w:tabs>
        <w:ind w:left="3436" w:hanging="573"/>
      </w:pPr>
      <w:rPr>
        <w:rFonts w:ascii="Times New Roman" w:hAnsi="Times New Roman" w:hint="default"/>
        <w:color w:val="auto"/>
      </w:rPr>
    </w:lvl>
    <w:lvl w:ilvl="6">
      <w:start w:val="1"/>
      <w:numFmt w:val="bullet"/>
      <w:lvlText w:val="-"/>
      <w:lvlJc w:val="left"/>
      <w:pPr>
        <w:tabs>
          <w:tab w:val="num" w:pos="4009"/>
        </w:tabs>
        <w:ind w:left="4009" w:hanging="573"/>
      </w:pPr>
      <w:rPr>
        <w:rFonts w:ascii="Times New Roman" w:hAnsi="Times New Roman" w:hint="default"/>
        <w:color w:val="auto"/>
      </w:rPr>
    </w:lvl>
    <w:lvl w:ilvl="7">
      <w:start w:val="1"/>
      <w:numFmt w:val="bullet"/>
      <w:lvlText w:val="-"/>
      <w:lvlJc w:val="left"/>
      <w:pPr>
        <w:tabs>
          <w:tab w:val="num" w:pos="4581"/>
        </w:tabs>
        <w:ind w:left="4581" w:hanging="572"/>
      </w:pPr>
      <w:rPr>
        <w:rFonts w:ascii="Times New Roman" w:hAnsi="Times New Roman" w:hint="default"/>
        <w:color w:val="auto"/>
      </w:rPr>
    </w:lvl>
    <w:lvl w:ilvl="8">
      <w:start w:val="1"/>
      <w:numFmt w:val="bullet"/>
      <w:lvlText w:val="-"/>
      <w:lvlJc w:val="left"/>
      <w:pPr>
        <w:tabs>
          <w:tab w:val="num" w:pos="5154"/>
        </w:tabs>
        <w:ind w:left="5154" w:hanging="573"/>
      </w:pPr>
      <w:rPr>
        <w:rFonts w:ascii="Times New Roman" w:hAnsi="Times New Roman" w:hint="default"/>
        <w:color w:val="auto"/>
      </w:rPr>
    </w:lvl>
  </w:abstractNum>
  <w:abstractNum w:abstractNumId="11" w15:restartNumberingAfterBreak="0">
    <w:nsid w:val="64137514"/>
    <w:multiLevelType w:val="multilevel"/>
    <w:tmpl w:val="B4244822"/>
    <w:lvl w:ilvl="0">
      <w:start w:val="1"/>
      <w:numFmt w:val="bullet"/>
      <w:pStyle w:val="NeAdbullet-level1"/>
      <w:lvlText w:val="►"/>
      <w:lvlJc w:val="left"/>
      <w:pPr>
        <w:tabs>
          <w:tab w:val="num" w:pos="567"/>
        </w:tabs>
        <w:ind w:left="567" w:hanging="567"/>
      </w:pPr>
      <w:rPr>
        <w:rFonts w:ascii="Arial" w:hAnsi="Arial" w:hint="default"/>
        <w:color w:val="903F0E"/>
        <w:sz w:val="16"/>
      </w:rPr>
    </w:lvl>
    <w:lvl w:ilvl="1">
      <w:start w:val="1"/>
      <w:numFmt w:val="bullet"/>
      <w:lvlText w:val=""/>
      <w:lvlJc w:val="left"/>
      <w:pPr>
        <w:tabs>
          <w:tab w:val="num" w:pos="1145"/>
        </w:tabs>
        <w:ind w:left="1145" w:hanging="572"/>
      </w:pPr>
      <w:rPr>
        <w:rFonts w:ascii="Symbol" w:hAnsi="Symbol" w:hint="default"/>
        <w:color w:val="auto"/>
      </w:rPr>
    </w:lvl>
    <w:lvl w:ilvl="2">
      <w:start w:val="1"/>
      <w:numFmt w:val="bullet"/>
      <w:lvlText w:val="-"/>
      <w:lvlJc w:val="left"/>
      <w:pPr>
        <w:tabs>
          <w:tab w:val="num" w:pos="1718"/>
        </w:tabs>
        <w:ind w:left="1718" w:hanging="573"/>
      </w:pPr>
      <w:rPr>
        <w:rFonts w:ascii="Times New Roman" w:hAnsi="Times New Roman" w:hint="default"/>
        <w:color w:val="auto"/>
      </w:rPr>
    </w:lvl>
    <w:lvl w:ilvl="3">
      <w:start w:val="1"/>
      <w:numFmt w:val="bullet"/>
      <w:lvlText w:val="-"/>
      <w:lvlJc w:val="left"/>
      <w:pPr>
        <w:tabs>
          <w:tab w:val="num" w:pos="2291"/>
        </w:tabs>
        <w:ind w:left="2291" w:hanging="573"/>
      </w:pPr>
      <w:rPr>
        <w:rFonts w:ascii="Times New Roman" w:hAnsi="Times New Roman" w:hint="default"/>
        <w:color w:val="auto"/>
      </w:rPr>
    </w:lvl>
    <w:lvl w:ilvl="4">
      <w:start w:val="1"/>
      <w:numFmt w:val="bullet"/>
      <w:lvlText w:val="-"/>
      <w:lvlJc w:val="left"/>
      <w:pPr>
        <w:tabs>
          <w:tab w:val="num" w:pos="2863"/>
        </w:tabs>
        <w:ind w:left="2863" w:hanging="572"/>
      </w:pPr>
      <w:rPr>
        <w:rFonts w:ascii="Times New Roman" w:hAnsi="Times New Roman" w:hint="default"/>
        <w:color w:val="auto"/>
      </w:rPr>
    </w:lvl>
    <w:lvl w:ilvl="5">
      <w:start w:val="1"/>
      <w:numFmt w:val="bullet"/>
      <w:lvlText w:val="-"/>
      <w:lvlJc w:val="left"/>
      <w:pPr>
        <w:tabs>
          <w:tab w:val="num" w:pos="3436"/>
        </w:tabs>
        <w:ind w:left="3436" w:hanging="573"/>
      </w:pPr>
      <w:rPr>
        <w:rFonts w:ascii="Times New Roman" w:hAnsi="Times New Roman" w:hint="default"/>
        <w:color w:val="auto"/>
      </w:rPr>
    </w:lvl>
    <w:lvl w:ilvl="6">
      <w:start w:val="1"/>
      <w:numFmt w:val="bullet"/>
      <w:lvlText w:val="-"/>
      <w:lvlJc w:val="left"/>
      <w:pPr>
        <w:tabs>
          <w:tab w:val="num" w:pos="4009"/>
        </w:tabs>
        <w:ind w:left="4009" w:hanging="573"/>
      </w:pPr>
      <w:rPr>
        <w:rFonts w:ascii="Times New Roman" w:hAnsi="Times New Roman" w:hint="default"/>
        <w:color w:val="auto"/>
      </w:rPr>
    </w:lvl>
    <w:lvl w:ilvl="7">
      <w:start w:val="1"/>
      <w:numFmt w:val="bullet"/>
      <w:lvlText w:val="-"/>
      <w:lvlJc w:val="left"/>
      <w:pPr>
        <w:tabs>
          <w:tab w:val="num" w:pos="4581"/>
        </w:tabs>
        <w:ind w:left="4581" w:hanging="572"/>
      </w:pPr>
      <w:rPr>
        <w:rFonts w:ascii="Times New Roman" w:hAnsi="Times New Roman" w:hint="default"/>
        <w:color w:val="auto"/>
      </w:rPr>
    </w:lvl>
    <w:lvl w:ilvl="8">
      <w:start w:val="1"/>
      <w:numFmt w:val="bullet"/>
      <w:lvlText w:val="-"/>
      <w:lvlJc w:val="left"/>
      <w:pPr>
        <w:tabs>
          <w:tab w:val="num" w:pos="5154"/>
        </w:tabs>
        <w:ind w:left="5154" w:hanging="573"/>
      </w:pPr>
      <w:rPr>
        <w:rFonts w:ascii="Times New Roman" w:hAnsi="Times New Roman" w:hint="default"/>
        <w:color w:val="auto"/>
      </w:rPr>
    </w:lvl>
  </w:abstractNum>
  <w:abstractNum w:abstractNumId="12" w15:restartNumberingAfterBreak="0">
    <w:nsid w:val="6B3D4CEE"/>
    <w:multiLevelType w:val="multilevel"/>
    <w:tmpl w:val="DCF070C4"/>
    <w:lvl w:ilvl="0">
      <w:start w:val="1"/>
      <w:numFmt w:val="decimal"/>
      <w:pStyle w:val="NeAdnumber-level1"/>
      <w:lvlText w:val="%1."/>
      <w:lvlJc w:val="left"/>
      <w:pPr>
        <w:tabs>
          <w:tab w:val="num" w:pos="567"/>
        </w:tabs>
        <w:ind w:left="567" w:hanging="567"/>
      </w:pPr>
      <w:rPr>
        <w:rFonts w:hint="default"/>
        <w:b w:val="0"/>
        <w:i w:val="0"/>
      </w:rPr>
    </w:lvl>
    <w:lvl w:ilvl="1">
      <w:start w:val="1"/>
      <w:numFmt w:val="decimal"/>
      <w:pStyle w:val="NeAdnumber-level2"/>
      <w:lvlText w:val="%1.%2."/>
      <w:lvlJc w:val="left"/>
      <w:pPr>
        <w:tabs>
          <w:tab w:val="num" w:pos="1134"/>
        </w:tabs>
        <w:ind w:left="1134" w:hanging="567"/>
      </w:pPr>
      <w:rPr>
        <w:rFonts w:hint="default"/>
      </w:rPr>
    </w:lvl>
    <w:lvl w:ilvl="2">
      <w:start w:val="1"/>
      <w:numFmt w:val="decimal"/>
      <w:pStyle w:val="NeAdnumber-level3"/>
      <w:lvlText w:val="%1.%2.%3."/>
      <w:lvlJc w:val="left"/>
      <w:pPr>
        <w:tabs>
          <w:tab w:val="num" w:pos="1701"/>
        </w:tabs>
        <w:ind w:left="1701" w:hanging="567"/>
      </w:pPr>
      <w:rPr>
        <w:rFonts w:hint="default"/>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9"/>
  </w:num>
  <w:num w:numId="3">
    <w:abstractNumId w:val="11"/>
  </w:num>
  <w:num w:numId="4">
    <w:abstractNumId w:val="0"/>
  </w:num>
  <w:num w:numId="5">
    <w:abstractNumId w:val="10"/>
  </w:num>
  <w:num w:numId="6">
    <w:abstractNumId w:val="12"/>
  </w:num>
  <w:num w:numId="7">
    <w:abstractNumId w:val="6"/>
  </w:num>
  <w:num w:numId="8">
    <w:abstractNumId w:val="8"/>
  </w:num>
  <w:num w:numId="9">
    <w:abstractNumId w:val="8"/>
  </w:num>
  <w:num w:numId="10">
    <w:abstractNumId w:val="8"/>
  </w:num>
  <w:num w:numId="11">
    <w:abstractNumId w:val="8"/>
  </w:num>
  <w:num w:numId="12">
    <w:abstractNumId w:val="8"/>
  </w:num>
  <w:num w:numId="13">
    <w:abstractNumId w:val="8"/>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2"/>
  </w:num>
  <w:num w:numId="21">
    <w:abstractNumId w:val="7"/>
  </w:num>
  <w:num w:numId="2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2"/>
  </w:num>
  <w:num w:numId="26">
    <w:abstractNumId w:val="3"/>
  </w:num>
  <w:num w:numId="27">
    <w:abstractNumId w:val="5"/>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B"/>
    <w:rsid w:val="000002FE"/>
    <w:rsid w:val="00000326"/>
    <w:rsid w:val="0000040D"/>
    <w:rsid w:val="000004ED"/>
    <w:rsid w:val="00000623"/>
    <w:rsid w:val="00001346"/>
    <w:rsid w:val="00001440"/>
    <w:rsid w:val="00001667"/>
    <w:rsid w:val="00001881"/>
    <w:rsid w:val="00001EEB"/>
    <w:rsid w:val="00001F19"/>
    <w:rsid w:val="000025A6"/>
    <w:rsid w:val="00002A02"/>
    <w:rsid w:val="00003032"/>
    <w:rsid w:val="00003155"/>
    <w:rsid w:val="00003AC1"/>
    <w:rsid w:val="00003C5D"/>
    <w:rsid w:val="00003E6B"/>
    <w:rsid w:val="00003FA1"/>
    <w:rsid w:val="0000466C"/>
    <w:rsid w:val="00005042"/>
    <w:rsid w:val="00005383"/>
    <w:rsid w:val="00005509"/>
    <w:rsid w:val="0000593E"/>
    <w:rsid w:val="00005949"/>
    <w:rsid w:val="00005B18"/>
    <w:rsid w:val="00005BC1"/>
    <w:rsid w:val="00005F3E"/>
    <w:rsid w:val="00006186"/>
    <w:rsid w:val="0000638A"/>
    <w:rsid w:val="000065DD"/>
    <w:rsid w:val="000069FC"/>
    <w:rsid w:val="00006AB6"/>
    <w:rsid w:val="00006CE9"/>
    <w:rsid w:val="000070FC"/>
    <w:rsid w:val="00007391"/>
    <w:rsid w:val="000075DC"/>
    <w:rsid w:val="00007607"/>
    <w:rsid w:val="00007757"/>
    <w:rsid w:val="0000790A"/>
    <w:rsid w:val="00007CCB"/>
    <w:rsid w:val="00007E63"/>
    <w:rsid w:val="0001002F"/>
    <w:rsid w:val="0001025A"/>
    <w:rsid w:val="00010273"/>
    <w:rsid w:val="0001060E"/>
    <w:rsid w:val="00010724"/>
    <w:rsid w:val="00010EE2"/>
    <w:rsid w:val="00010FC1"/>
    <w:rsid w:val="00011043"/>
    <w:rsid w:val="00011585"/>
    <w:rsid w:val="00011629"/>
    <w:rsid w:val="000118A6"/>
    <w:rsid w:val="000119D6"/>
    <w:rsid w:val="00011BEB"/>
    <w:rsid w:val="00011DDC"/>
    <w:rsid w:val="000122BC"/>
    <w:rsid w:val="0001230E"/>
    <w:rsid w:val="000123CB"/>
    <w:rsid w:val="00012CF0"/>
    <w:rsid w:val="00012F02"/>
    <w:rsid w:val="00012FE6"/>
    <w:rsid w:val="00013011"/>
    <w:rsid w:val="000137E7"/>
    <w:rsid w:val="0001387D"/>
    <w:rsid w:val="000139DA"/>
    <w:rsid w:val="00014089"/>
    <w:rsid w:val="000140EA"/>
    <w:rsid w:val="000141EF"/>
    <w:rsid w:val="0001435D"/>
    <w:rsid w:val="0001443E"/>
    <w:rsid w:val="00014951"/>
    <w:rsid w:val="00014AE7"/>
    <w:rsid w:val="00014CED"/>
    <w:rsid w:val="00015140"/>
    <w:rsid w:val="0001563E"/>
    <w:rsid w:val="00015825"/>
    <w:rsid w:val="000158E7"/>
    <w:rsid w:val="00015C82"/>
    <w:rsid w:val="0001638C"/>
    <w:rsid w:val="00016461"/>
    <w:rsid w:val="00016656"/>
    <w:rsid w:val="0001667B"/>
    <w:rsid w:val="0001681F"/>
    <w:rsid w:val="00016EC5"/>
    <w:rsid w:val="00016F3C"/>
    <w:rsid w:val="000170D3"/>
    <w:rsid w:val="00017DFE"/>
    <w:rsid w:val="0002007B"/>
    <w:rsid w:val="00020240"/>
    <w:rsid w:val="0002043E"/>
    <w:rsid w:val="00020578"/>
    <w:rsid w:val="00020EC7"/>
    <w:rsid w:val="00021124"/>
    <w:rsid w:val="0002121F"/>
    <w:rsid w:val="00021946"/>
    <w:rsid w:val="00021BAB"/>
    <w:rsid w:val="000222CF"/>
    <w:rsid w:val="00022436"/>
    <w:rsid w:val="00022B85"/>
    <w:rsid w:val="00022D89"/>
    <w:rsid w:val="00023590"/>
    <w:rsid w:val="000236BD"/>
    <w:rsid w:val="00023F1A"/>
    <w:rsid w:val="00024316"/>
    <w:rsid w:val="00024396"/>
    <w:rsid w:val="00024638"/>
    <w:rsid w:val="00024854"/>
    <w:rsid w:val="00024C05"/>
    <w:rsid w:val="000255E8"/>
    <w:rsid w:val="00025958"/>
    <w:rsid w:val="00025D7B"/>
    <w:rsid w:val="00025E80"/>
    <w:rsid w:val="0002600E"/>
    <w:rsid w:val="0002602E"/>
    <w:rsid w:val="00026129"/>
    <w:rsid w:val="000271D9"/>
    <w:rsid w:val="0002751A"/>
    <w:rsid w:val="0002785E"/>
    <w:rsid w:val="00027B05"/>
    <w:rsid w:val="00030492"/>
    <w:rsid w:val="000306D4"/>
    <w:rsid w:val="00030B5E"/>
    <w:rsid w:val="00030DED"/>
    <w:rsid w:val="00030EB0"/>
    <w:rsid w:val="000312EE"/>
    <w:rsid w:val="000314BC"/>
    <w:rsid w:val="000316C0"/>
    <w:rsid w:val="00031D14"/>
    <w:rsid w:val="00032059"/>
    <w:rsid w:val="00032167"/>
    <w:rsid w:val="000321B5"/>
    <w:rsid w:val="000321C3"/>
    <w:rsid w:val="000330E7"/>
    <w:rsid w:val="000333AF"/>
    <w:rsid w:val="0003361F"/>
    <w:rsid w:val="00033751"/>
    <w:rsid w:val="00033AB2"/>
    <w:rsid w:val="00033E02"/>
    <w:rsid w:val="00034882"/>
    <w:rsid w:val="000349AD"/>
    <w:rsid w:val="00034F5E"/>
    <w:rsid w:val="00035503"/>
    <w:rsid w:val="0003575B"/>
    <w:rsid w:val="00035BA7"/>
    <w:rsid w:val="00035E6B"/>
    <w:rsid w:val="00035F48"/>
    <w:rsid w:val="0003684D"/>
    <w:rsid w:val="000369B2"/>
    <w:rsid w:val="00036B3A"/>
    <w:rsid w:val="00036BE3"/>
    <w:rsid w:val="00036CE9"/>
    <w:rsid w:val="00036EBD"/>
    <w:rsid w:val="000372F7"/>
    <w:rsid w:val="000401DB"/>
    <w:rsid w:val="0004047F"/>
    <w:rsid w:val="000404D7"/>
    <w:rsid w:val="00040B63"/>
    <w:rsid w:val="00040C8B"/>
    <w:rsid w:val="00040D1E"/>
    <w:rsid w:val="00040EE9"/>
    <w:rsid w:val="00041116"/>
    <w:rsid w:val="0004196F"/>
    <w:rsid w:val="00041B29"/>
    <w:rsid w:val="00041B8B"/>
    <w:rsid w:val="00041FB3"/>
    <w:rsid w:val="000420D3"/>
    <w:rsid w:val="0004212D"/>
    <w:rsid w:val="0004222D"/>
    <w:rsid w:val="0004238E"/>
    <w:rsid w:val="000425F5"/>
    <w:rsid w:val="00042625"/>
    <w:rsid w:val="00042BF1"/>
    <w:rsid w:val="000431E7"/>
    <w:rsid w:val="0004362C"/>
    <w:rsid w:val="00043C57"/>
    <w:rsid w:val="00043F32"/>
    <w:rsid w:val="00043F36"/>
    <w:rsid w:val="00043FBD"/>
    <w:rsid w:val="000443EF"/>
    <w:rsid w:val="00044D1F"/>
    <w:rsid w:val="00045054"/>
    <w:rsid w:val="00046464"/>
    <w:rsid w:val="00046A13"/>
    <w:rsid w:val="00046A39"/>
    <w:rsid w:val="00046BA0"/>
    <w:rsid w:val="00046BE8"/>
    <w:rsid w:val="0004715D"/>
    <w:rsid w:val="00047274"/>
    <w:rsid w:val="00047583"/>
    <w:rsid w:val="00047B48"/>
    <w:rsid w:val="0005003B"/>
    <w:rsid w:val="00050238"/>
    <w:rsid w:val="00050CF2"/>
    <w:rsid w:val="00050E73"/>
    <w:rsid w:val="000516E3"/>
    <w:rsid w:val="00051D4D"/>
    <w:rsid w:val="00052429"/>
    <w:rsid w:val="000525DE"/>
    <w:rsid w:val="00052869"/>
    <w:rsid w:val="00052B46"/>
    <w:rsid w:val="000531DB"/>
    <w:rsid w:val="000532EA"/>
    <w:rsid w:val="000537B2"/>
    <w:rsid w:val="000537CC"/>
    <w:rsid w:val="00053C6C"/>
    <w:rsid w:val="00053CA9"/>
    <w:rsid w:val="00053E4C"/>
    <w:rsid w:val="000540FB"/>
    <w:rsid w:val="0005424B"/>
    <w:rsid w:val="000548A9"/>
    <w:rsid w:val="00054BC5"/>
    <w:rsid w:val="00054D93"/>
    <w:rsid w:val="00054E1D"/>
    <w:rsid w:val="00054FFE"/>
    <w:rsid w:val="00055351"/>
    <w:rsid w:val="000557CC"/>
    <w:rsid w:val="00056744"/>
    <w:rsid w:val="0005698A"/>
    <w:rsid w:val="00056A79"/>
    <w:rsid w:val="00057315"/>
    <w:rsid w:val="000579F3"/>
    <w:rsid w:val="00060F4F"/>
    <w:rsid w:val="00061A3C"/>
    <w:rsid w:val="00061D41"/>
    <w:rsid w:val="0006260A"/>
    <w:rsid w:val="00062B1F"/>
    <w:rsid w:val="00062E41"/>
    <w:rsid w:val="0006305A"/>
    <w:rsid w:val="00063B34"/>
    <w:rsid w:val="0006408C"/>
    <w:rsid w:val="00064419"/>
    <w:rsid w:val="000646EB"/>
    <w:rsid w:val="00064A7D"/>
    <w:rsid w:val="00065048"/>
    <w:rsid w:val="0006546B"/>
    <w:rsid w:val="00065542"/>
    <w:rsid w:val="0006583E"/>
    <w:rsid w:val="00066170"/>
    <w:rsid w:val="0006625D"/>
    <w:rsid w:val="00066289"/>
    <w:rsid w:val="00066495"/>
    <w:rsid w:val="000669F8"/>
    <w:rsid w:val="00066AC7"/>
    <w:rsid w:val="00066F33"/>
    <w:rsid w:val="000672BD"/>
    <w:rsid w:val="0006779F"/>
    <w:rsid w:val="0006788B"/>
    <w:rsid w:val="000679B2"/>
    <w:rsid w:val="000700AE"/>
    <w:rsid w:val="000702BA"/>
    <w:rsid w:val="000706F0"/>
    <w:rsid w:val="000708CA"/>
    <w:rsid w:val="000709F2"/>
    <w:rsid w:val="00070AF0"/>
    <w:rsid w:val="00070EA1"/>
    <w:rsid w:val="00070FBC"/>
    <w:rsid w:val="00070FBF"/>
    <w:rsid w:val="00070FCF"/>
    <w:rsid w:val="0007125F"/>
    <w:rsid w:val="000712B9"/>
    <w:rsid w:val="00071714"/>
    <w:rsid w:val="00071799"/>
    <w:rsid w:val="00071B21"/>
    <w:rsid w:val="00072156"/>
    <w:rsid w:val="00072660"/>
    <w:rsid w:val="00072987"/>
    <w:rsid w:val="00072B89"/>
    <w:rsid w:val="00072E73"/>
    <w:rsid w:val="000735AF"/>
    <w:rsid w:val="00073D8B"/>
    <w:rsid w:val="00074273"/>
    <w:rsid w:val="000748CE"/>
    <w:rsid w:val="00074B70"/>
    <w:rsid w:val="00074E3C"/>
    <w:rsid w:val="000752DD"/>
    <w:rsid w:val="00075A48"/>
    <w:rsid w:val="00076633"/>
    <w:rsid w:val="0007669C"/>
    <w:rsid w:val="0007711F"/>
    <w:rsid w:val="00077303"/>
    <w:rsid w:val="00077C68"/>
    <w:rsid w:val="00080119"/>
    <w:rsid w:val="0008020C"/>
    <w:rsid w:val="000803A8"/>
    <w:rsid w:val="000803BA"/>
    <w:rsid w:val="00080440"/>
    <w:rsid w:val="000805E4"/>
    <w:rsid w:val="00080D19"/>
    <w:rsid w:val="00080E3B"/>
    <w:rsid w:val="00081640"/>
    <w:rsid w:val="00081980"/>
    <w:rsid w:val="00081D3C"/>
    <w:rsid w:val="00081DE3"/>
    <w:rsid w:val="00081FF2"/>
    <w:rsid w:val="00082255"/>
    <w:rsid w:val="00082549"/>
    <w:rsid w:val="000829F9"/>
    <w:rsid w:val="00082AE1"/>
    <w:rsid w:val="00082CC8"/>
    <w:rsid w:val="00082D19"/>
    <w:rsid w:val="00082D8B"/>
    <w:rsid w:val="0008302C"/>
    <w:rsid w:val="0008340A"/>
    <w:rsid w:val="0008380A"/>
    <w:rsid w:val="00083E57"/>
    <w:rsid w:val="000847E5"/>
    <w:rsid w:val="00084BE3"/>
    <w:rsid w:val="00084DCC"/>
    <w:rsid w:val="00085A94"/>
    <w:rsid w:val="00085C51"/>
    <w:rsid w:val="000862A6"/>
    <w:rsid w:val="000867B0"/>
    <w:rsid w:val="000868D4"/>
    <w:rsid w:val="00086C94"/>
    <w:rsid w:val="00086DC2"/>
    <w:rsid w:val="00086E6B"/>
    <w:rsid w:val="00087801"/>
    <w:rsid w:val="00087BC1"/>
    <w:rsid w:val="000905F7"/>
    <w:rsid w:val="00090796"/>
    <w:rsid w:val="00091043"/>
    <w:rsid w:val="00091423"/>
    <w:rsid w:val="00091790"/>
    <w:rsid w:val="000919B4"/>
    <w:rsid w:val="00091EC4"/>
    <w:rsid w:val="00092294"/>
    <w:rsid w:val="000923FD"/>
    <w:rsid w:val="000924BC"/>
    <w:rsid w:val="00092702"/>
    <w:rsid w:val="0009299A"/>
    <w:rsid w:val="00092F5E"/>
    <w:rsid w:val="00092F6F"/>
    <w:rsid w:val="000937E7"/>
    <w:rsid w:val="00093B01"/>
    <w:rsid w:val="00093B19"/>
    <w:rsid w:val="00093FB9"/>
    <w:rsid w:val="0009413B"/>
    <w:rsid w:val="0009418C"/>
    <w:rsid w:val="0009437C"/>
    <w:rsid w:val="00094B25"/>
    <w:rsid w:val="00095D6C"/>
    <w:rsid w:val="00095EC1"/>
    <w:rsid w:val="000960A7"/>
    <w:rsid w:val="00096659"/>
    <w:rsid w:val="00096983"/>
    <w:rsid w:val="00097335"/>
    <w:rsid w:val="000974EB"/>
    <w:rsid w:val="000976BD"/>
    <w:rsid w:val="00097C0F"/>
    <w:rsid w:val="00097C82"/>
    <w:rsid w:val="00097E0B"/>
    <w:rsid w:val="000A0251"/>
    <w:rsid w:val="000A07F1"/>
    <w:rsid w:val="000A0BC9"/>
    <w:rsid w:val="000A122E"/>
    <w:rsid w:val="000A13D2"/>
    <w:rsid w:val="000A13EB"/>
    <w:rsid w:val="000A16CD"/>
    <w:rsid w:val="000A17CA"/>
    <w:rsid w:val="000A1DF7"/>
    <w:rsid w:val="000A2498"/>
    <w:rsid w:val="000A25BD"/>
    <w:rsid w:val="000A2630"/>
    <w:rsid w:val="000A2A4C"/>
    <w:rsid w:val="000A2DC3"/>
    <w:rsid w:val="000A2E0D"/>
    <w:rsid w:val="000A2E29"/>
    <w:rsid w:val="000A31C1"/>
    <w:rsid w:val="000A3385"/>
    <w:rsid w:val="000A45D1"/>
    <w:rsid w:val="000A4702"/>
    <w:rsid w:val="000A4918"/>
    <w:rsid w:val="000A496E"/>
    <w:rsid w:val="000A49AD"/>
    <w:rsid w:val="000A4C53"/>
    <w:rsid w:val="000A51CA"/>
    <w:rsid w:val="000A541B"/>
    <w:rsid w:val="000A5708"/>
    <w:rsid w:val="000A5878"/>
    <w:rsid w:val="000A5B0D"/>
    <w:rsid w:val="000A5B3B"/>
    <w:rsid w:val="000A5F86"/>
    <w:rsid w:val="000A61B1"/>
    <w:rsid w:val="000A66EA"/>
    <w:rsid w:val="000A6839"/>
    <w:rsid w:val="000A6A11"/>
    <w:rsid w:val="000A6E3B"/>
    <w:rsid w:val="000A6E70"/>
    <w:rsid w:val="000A6F10"/>
    <w:rsid w:val="000A6F51"/>
    <w:rsid w:val="000A7128"/>
    <w:rsid w:val="000A7165"/>
    <w:rsid w:val="000A744C"/>
    <w:rsid w:val="000A7B0A"/>
    <w:rsid w:val="000A7EC0"/>
    <w:rsid w:val="000B035B"/>
    <w:rsid w:val="000B056B"/>
    <w:rsid w:val="000B0899"/>
    <w:rsid w:val="000B09A3"/>
    <w:rsid w:val="000B1444"/>
    <w:rsid w:val="000B14C0"/>
    <w:rsid w:val="000B1A53"/>
    <w:rsid w:val="000B20F0"/>
    <w:rsid w:val="000B2162"/>
    <w:rsid w:val="000B22EC"/>
    <w:rsid w:val="000B22F6"/>
    <w:rsid w:val="000B257C"/>
    <w:rsid w:val="000B25CB"/>
    <w:rsid w:val="000B28B8"/>
    <w:rsid w:val="000B2C90"/>
    <w:rsid w:val="000B3BA0"/>
    <w:rsid w:val="000B3D4C"/>
    <w:rsid w:val="000B4051"/>
    <w:rsid w:val="000B41CD"/>
    <w:rsid w:val="000B41E3"/>
    <w:rsid w:val="000B43D3"/>
    <w:rsid w:val="000B4CB0"/>
    <w:rsid w:val="000B4D55"/>
    <w:rsid w:val="000B4D7B"/>
    <w:rsid w:val="000B512E"/>
    <w:rsid w:val="000B52AF"/>
    <w:rsid w:val="000B5526"/>
    <w:rsid w:val="000B552C"/>
    <w:rsid w:val="000B58AA"/>
    <w:rsid w:val="000B5DE9"/>
    <w:rsid w:val="000B6075"/>
    <w:rsid w:val="000B61C7"/>
    <w:rsid w:val="000B64F0"/>
    <w:rsid w:val="000B6659"/>
    <w:rsid w:val="000B683E"/>
    <w:rsid w:val="000B6B99"/>
    <w:rsid w:val="000B6C99"/>
    <w:rsid w:val="000B7135"/>
    <w:rsid w:val="000B74D3"/>
    <w:rsid w:val="000B773C"/>
    <w:rsid w:val="000B77CF"/>
    <w:rsid w:val="000B78DC"/>
    <w:rsid w:val="000B7990"/>
    <w:rsid w:val="000B7AA2"/>
    <w:rsid w:val="000B7BBD"/>
    <w:rsid w:val="000B7E28"/>
    <w:rsid w:val="000C0192"/>
    <w:rsid w:val="000C0401"/>
    <w:rsid w:val="000C0D93"/>
    <w:rsid w:val="000C18B6"/>
    <w:rsid w:val="000C199C"/>
    <w:rsid w:val="000C1BC1"/>
    <w:rsid w:val="000C1F28"/>
    <w:rsid w:val="000C2414"/>
    <w:rsid w:val="000C25AA"/>
    <w:rsid w:val="000C266A"/>
    <w:rsid w:val="000C29C2"/>
    <w:rsid w:val="000C2D60"/>
    <w:rsid w:val="000C2F48"/>
    <w:rsid w:val="000C318D"/>
    <w:rsid w:val="000C3290"/>
    <w:rsid w:val="000C3EFA"/>
    <w:rsid w:val="000C434E"/>
    <w:rsid w:val="000C464D"/>
    <w:rsid w:val="000C47A4"/>
    <w:rsid w:val="000C4D13"/>
    <w:rsid w:val="000C4DD9"/>
    <w:rsid w:val="000C4E9D"/>
    <w:rsid w:val="000C5115"/>
    <w:rsid w:val="000C538F"/>
    <w:rsid w:val="000C5478"/>
    <w:rsid w:val="000C55CE"/>
    <w:rsid w:val="000C56B9"/>
    <w:rsid w:val="000C5987"/>
    <w:rsid w:val="000C5A99"/>
    <w:rsid w:val="000C5BF2"/>
    <w:rsid w:val="000C5C6F"/>
    <w:rsid w:val="000C5CD9"/>
    <w:rsid w:val="000C5E4E"/>
    <w:rsid w:val="000C686B"/>
    <w:rsid w:val="000C7112"/>
    <w:rsid w:val="000C7371"/>
    <w:rsid w:val="000C75E5"/>
    <w:rsid w:val="000C7C24"/>
    <w:rsid w:val="000C7C59"/>
    <w:rsid w:val="000C7E95"/>
    <w:rsid w:val="000C7F58"/>
    <w:rsid w:val="000D03E0"/>
    <w:rsid w:val="000D05D1"/>
    <w:rsid w:val="000D0724"/>
    <w:rsid w:val="000D0C4A"/>
    <w:rsid w:val="000D0D39"/>
    <w:rsid w:val="000D0DAA"/>
    <w:rsid w:val="000D1537"/>
    <w:rsid w:val="000D15D1"/>
    <w:rsid w:val="000D18D7"/>
    <w:rsid w:val="000D1A64"/>
    <w:rsid w:val="000D1DB6"/>
    <w:rsid w:val="000D21F7"/>
    <w:rsid w:val="000D2494"/>
    <w:rsid w:val="000D2E0C"/>
    <w:rsid w:val="000D2FF5"/>
    <w:rsid w:val="000D354C"/>
    <w:rsid w:val="000D36C9"/>
    <w:rsid w:val="000D3FAE"/>
    <w:rsid w:val="000D40F1"/>
    <w:rsid w:val="000D4405"/>
    <w:rsid w:val="000D4434"/>
    <w:rsid w:val="000D4486"/>
    <w:rsid w:val="000D4740"/>
    <w:rsid w:val="000D4791"/>
    <w:rsid w:val="000D491C"/>
    <w:rsid w:val="000D5009"/>
    <w:rsid w:val="000D5246"/>
    <w:rsid w:val="000D57E7"/>
    <w:rsid w:val="000D58D6"/>
    <w:rsid w:val="000D5A14"/>
    <w:rsid w:val="000D5D7F"/>
    <w:rsid w:val="000D5D84"/>
    <w:rsid w:val="000D64C6"/>
    <w:rsid w:val="000D6636"/>
    <w:rsid w:val="000D691B"/>
    <w:rsid w:val="000D6C2E"/>
    <w:rsid w:val="000D76C8"/>
    <w:rsid w:val="000D7951"/>
    <w:rsid w:val="000D7B06"/>
    <w:rsid w:val="000D7CED"/>
    <w:rsid w:val="000D7DAF"/>
    <w:rsid w:val="000E02CF"/>
    <w:rsid w:val="000E060A"/>
    <w:rsid w:val="000E0681"/>
    <w:rsid w:val="000E0A9E"/>
    <w:rsid w:val="000E0D2D"/>
    <w:rsid w:val="000E1BFA"/>
    <w:rsid w:val="000E1C31"/>
    <w:rsid w:val="000E1E32"/>
    <w:rsid w:val="000E1E94"/>
    <w:rsid w:val="000E2044"/>
    <w:rsid w:val="000E23F2"/>
    <w:rsid w:val="000E286C"/>
    <w:rsid w:val="000E28C3"/>
    <w:rsid w:val="000E2923"/>
    <w:rsid w:val="000E2B06"/>
    <w:rsid w:val="000E312D"/>
    <w:rsid w:val="000E34BE"/>
    <w:rsid w:val="000E34EA"/>
    <w:rsid w:val="000E38EA"/>
    <w:rsid w:val="000E3908"/>
    <w:rsid w:val="000E3DF0"/>
    <w:rsid w:val="000E418C"/>
    <w:rsid w:val="000E4266"/>
    <w:rsid w:val="000E44AF"/>
    <w:rsid w:val="000E456E"/>
    <w:rsid w:val="000E49B3"/>
    <w:rsid w:val="000E4AE6"/>
    <w:rsid w:val="000E4DDA"/>
    <w:rsid w:val="000E510C"/>
    <w:rsid w:val="000E5582"/>
    <w:rsid w:val="000E55DA"/>
    <w:rsid w:val="000E5978"/>
    <w:rsid w:val="000E5FEA"/>
    <w:rsid w:val="000E65F3"/>
    <w:rsid w:val="000E6665"/>
    <w:rsid w:val="000E6858"/>
    <w:rsid w:val="000E68EC"/>
    <w:rsid w:val="000E6D58"/>
    <w:rsid w:val="000E70FC"/>
    <w:rsid w:val="000E732D"/>
    <w:rsid w:val="000E760F"/>
    <w:rsid w:val="000F0BDB"/>
    <w:rsid w:val="000F1037"/>
    <w:rsid w:val="000F11B5"/>
    <w:rsid w:val="000F11E9"/>
    <w:rsid w:val="000F141B"/>
    <w:rsid w:val="000F1B70"/>
    <w:rsid w:val="000F2315"/>
    <w:rsid w:val="000F270C"/>
    <w:rsid w:val="000F29D4"/>
    <w:rsid w:val="000F32F7"/>
    <w:rsid w:val="000F380D"/>
    <w:rsid w:val="000F4A47"/>
    <w:rsid w:val="000F4A76"/>
    <w:rsid w:val="000F534C"/>
    <w:rsid w:val="000F5CF8"/>
    <w:rsid w:val="000F5F3F"/>
    <w:rsid w:val="000F5F8F"/>
    <w:rsid w:val="000F608B"/>
    <w:rsid w:val="000F6930"/>
    <w:rsid w:val="000F6942"/>
    <w:rsid w:val="000F6D3D"/>
    <w:rsid w:val="000F6E1F"/>
    <w:rsid w:val="000F703C"/>
    <w:rsid w:val="000F7264"/>
    <w:rsid w:val="000F7546"/>
    <w:rsid w:val="000F7795"/>
    <w:rsid w:val="000F7A23"/>
    <w:rsid w:val="000F7BEB"/>
    <w:rsid w:val="000F7E5B"/>
    <w:rsid w:val="00100428"/>
    <w:rsid w:val="00100496"/>
    <w:rsid w:val="001004FC"/>
    <w:rsid w:val="0010123F"/>
    <w:rsid w:val="00101281"/>
    <w:rsid w:val="00101726"/>
    <w:rsid w:val="00101732"/>
    <w:rsid w:val="00101F77"/>
    <w:rsid w:val="001028B6"/>
    <w:rsid w:val="00102DDF"/>
    <w:rsid w:val="00102F26"/>
    <w:rsid w:val="00103426"/>
    <w:rsid w:val="001034D2"/>
    <w:rsid w:val="001035C1"/>
    <w:rsid w:val="00103C14"/>
    <w:rsid w:val="00103F23"/>
    <w:rsid w:val="00104159"/>
    <w:rsid w:val="00104506"/>
    <w:rsid w:val="001048C0"/>
    <w:rsid w:val="00104CC6"/>
    <w:rsid w:val="00104D92"/>
    <w:rsid w:val="00104EC7"/>
    <w:rsid w:val="00105132"/>
    <w:rsid w:val="00105232"/>
    <w:rsid w:val="001052A9"/>
    <w:rsid w:val="001055F9"/>
    <w:rsid w:val="0010579D"/>
    <w:rsid w:val="001057A9"/>
    <w:rsid w:val="00105D30"/>
    <w:rsid w:val="001060D6"/>
    <w:rsid w:val="001061CF"/>
    <w:rsid w:val="00106218"/>
    <w:rsid w:val="00106238"/>
    <w:rsid w:val="001062A7"/>
    <w:rsid w:val="0010637A"/>
    <w:rsid w:val="00106409"/>
    <w:rsid w:val="00106475"/>
    <w:rsid w:val="001068BD"/>
    <w:rsid w:val="00106965"/>
    <w:rsid w:val="00106A41"/>
    <w:rsid w:val="00106F29"/>
    <w:rsid w:val="00107196"/>
    <w:rsid w:val="0010744F"/>
    <w:rsid w:val="00107534"/>
    <w:rsid w:val="001077C2"/>
    <w:rsid w:val="0010796C"/>
    <w:rsid w:val="00107BC0"/>
    <w:rsid w:val="001107BB"/>
    <w:rsid w:val="00110B59"/>
    <w:rsid w:val="00111D36"/>
    <w:rsid w:val="0011215F"/>
    <w:rsid w:val="00112833"/>
    <w:rsid w:val="00112AEF"/>
    <w:rsid w:val="00112B4D"/>
    <w:rsid w:val="00112D4A"/>
    <w:rsid w:val="001131B0"/>
    <w:rsid w:val="0011355F"/>
    <w:rsid w:val="001138FA"/>
    <w:rsid w:val="00113996"/>
    <w:rsid w:val="00113BF7"/>
    <w:rsid w:val="00113F43"/>
    <w:rsid w:val="0011430B"/>
    <w:rsid w:val="001148BB"/>
    <w:rsid w:val="001148CA"/>
    <w:rsid w:val="00114919"/>
    <w:rsid w:val="00114AA8"/>
    <w:rsid w:val="00114E92"/>
    <w:rsid w:val="0011537D"/>
    <w:rsid w:val="001153BE"/>
    <w:rsid w:val="00115570"/>
    <w:rsid w:val="001158B0"/>
    <w:rsid w:val="00115C62"/>
    <w:rsid w:val="00115CEE"/>
    <w:rsid w:val="00115D8E"/>
    <w:rsid w:val="00115EBE"/>
    <w:rsid w:val="00116E02"/>
    <w:rsid w:val="0011725A"/>
    <w:rsid w:val="00117594"/>
    <w:rsid w:val="00117656"/>
    <w:rsid w:val="00117B29"/>
    <w:rsid w:val="00117FF1"/>
    <w:rsid w:val="00120104"/>
    <w:rsid w:val="001207B4"/>
    <w:rsid w:val="00120890"/>
    <w:rsid w:val="00120B6A"/>
    <w:rsid w:val="00120D21"/>
    <w:rsid w:val="00120EC9"/>
    <w:rsid w:val="00120F3B"/>
    <w:rsid w:val="0012133C"/>
    <w:rsid w:val="001217BE"/>
    <w:rsid w:val="00121A35"/>
    <w:rsid w:val="00121FB8"/>
    <w:rsid w:val="00121FDE"/>
    <w:rsid w:val="001221A8"/>
    <w:rsid w:val="001223C1"/>
    <w:rsid w:val="001224F5"/>
    <w:rsid w:val="00122B48"/>
    <w:rsid w:val="00122C3F"/>
    <w:rsid w:val="00123096"/>
    <w:rsid w:val="00123581"/>
    <w:rsid w:val="00123868"/>
    <w:rsid w:val="001238E2"/>
    <w:rsid w:val="00124138"/>
    <w:rsid w:val="0012452E"/>
    <w:rsid w:val="00124626"/>
    <w:rsid w:val="001247E5"/>
    <w:rsid w:val="00124950"/>
    <w:rsid w:val="00125390"/>
    <w:rsid w:val="001253A9"/>
    <w:rsid w:val="0012573A"/>
    <w:rsid w:val="00125C3E"/>
    <w:rsid w:val="00125DD4"/>
    <w:rsid w:val="001268B8"/>
    <w:rsid w:val="00126930"/>
    <w:rsid w:val="00126A15"/>
    <w:rsid w:val="00126D13"/>
    <w:rsid w:val="00126EE1"/>
    <w:rsid w:val="001270BC"/>
    <w:rsid w:val="001272AF"/>
    <w:rsid w:val="00130034"/>
    <w:rsid w:val="00130258"/>
    <w:rsid w:val="00130772"/>
    <w:rsid w:val="00131436"/>
    <w:rsid w:val="00131817"/>
    <w:rsid w:val="00131822"/>
    <w:rsid w:val="00131ADC"/>
    <w:rsid w:val="001322BA"/>
    <w:rsid w:val="0013267D"/>
    <w:rsid w:val="001327E6"/>
    <w:rsid w:val="00132812"/>
    <w:rsid w:val="001328AA"/>
    <w:rsid w:val="00132BEC"/>
    <w:rsid w:val="0013312D"/>
    <w:rsid w:val="001333AB"/>
    <w:rsid w:val="00133759"/>
    <w:rsid w:val="00133C35"/>
    <w:rsid w:val="00133EAA"/>
    <w:rsid w:val="001342A2"/>
    <w:rsid w:val="001343E4"/>
    <w:rsid w:val="00134518"/>
    <w:rsid w:val="00134743"/>
    <w:rsid w:val="001349E2"/>
    <w:rsid w:val="001350CE"/>
    <w:rsid w:val="00135593"/>
    <w:rsid w:val="00135605"/>
    <w:rsid w:val="00135E36"/>
    <w:rsid w:val="001360F4"/>
    <w:rsid w:val="00136398"/>
    <w:rsid w:val="001364F8"/>
    <w:rsid w:val="0013668D"/>
    <w:rsid w:val="00137353"/>
    <w:rsid w:val="00137577"/>
    <w:rsid w:val="00137AD0"/>
    <w:rsid w:val="00137B8C"/>
    <w:rsid w:val="00137EA9"/>
    <w:rsid w:val="001405F1"/>
    <w:rsid w:val="001412D5"/>
    <w:rsid w:val="001412DE"/>
    <w:rsid w:val="0014161F"/>
    <w:rsid w:val="001416F6"/>
    <w:rsid w:val="001419DA"/>
    <w:rsid w:val="00141BCD"/>
    <w:rsid w:val="00141DDB"/>
    <w:rsid w:val="00142018"/>
    <w:rsid w:val="0014256F"/>
    <w:rsid w:val="00142754"/>
    <w:rsid w:val="0014287B"/>
    <w:rsid w:val="0014296B"/>
    <w:rsid w:val="001430FC"/>
    <w:rsid w:val="00143291"/>
    <w:rsid w:val="00143CC1"/>
    <w:rsid w:val="00143D25"/>
    <w:rsid w:val="00144122"/>
    <w:rsid w:val="001442BE"/>
    <w:rsid w:val="00144356"/>
    <w:rsid w:val="00144396"/>
    <w:rsid w:val="0014449B"/>
    <w:rsid w:val="00144663"/>
    <w:rsid w:val="0014499D"/>
    <w:rsid w:val="00144FAD"/>
    <w:rsid w:val="00145862"/>
    <w:rsid w:val="001458EF"/>
    <w:rsid w:val="00145FF4"/>
    <w:rsid w:val="00146354"/>
    <w:rsid w:val="00146363"/>
    <w:rsid w:val="001464BB"/>
    <w:rsid w:val="00146BCB"/>
    <w:rsid w:val="00146DF5"/>
    <w:rsid w:val="0014701B"/>
    <w:rsid w:val="00147410"/>
    <w:rsid w:val="001474FC"/>
    <w:rsid w:val="0014759C"/>
    <w:rsid w:val="0014772E"/>
    <w:rsid w:val="00147730"/>
    <w:rsid w:val="001478F4"/>
    <w:rsid w:val="00147BBC"/>
    <w:rsid w:val="00147C17"/>
    <w:rsid w:val="00147D8C"/>
    <w:rsid w:val="00147E40"/>
    <w:rsid w:val="00147E6E"/>
    <w:rsid w:val="001503C4"/>
    <w:rsid w:val="001507E0"/>
    <w:rsid w:val="00151284"/>
    <w:rsid w:val="001513F2"/>
    <w:rsid w:val="001517FC"/>
    <w:rsid w:val="00151A06"/>
    <w:rsid w:val="0015214A"/>
    <w:rsid w:val="0015277A"/>
    <w:rsid w:val="00152D5A"/>
    <w:rsid w:val="00152DEB"/>
    <w:rsid w:val="0015387A"/>
    <w:rsid w:val="00154102"/>
    <w:rsid w:val="001546D6"/>
    <w:rsid w:val="001547B3"/>
    <w:rsid w:val="00154933"/>
    <w:rsid w:val="00154E61"/>
    <w:rsid w:val="00155652"/>
    <w:rsid w:val="001562CB"/>
    <w:rsid w:val="001563C5"/>
    <w:rsid w:val="001568A8"/>
    <w:rsid w:val="00156B0E"/>
    <w:rsid w:val="00156BB3"/>
    <w:rsid w:val="00156C81"/>
    <w:rsid w:val="00156CA9"/>
    <w:rsid w:val="00156D0C"/>
    <w:rsid w:val="00156DAA"/>
    <w:rsid w:val="00156ED5"/>
    <w:rsid w:val="001570D5"/>
    <w:rsid w:val="00157226"/>
    <w:rsid w:val="0015757D"/>
    <w:rsid w:val="0015782D"/>
    <w:rsid w:val="00157AAD"/>
    <w:rsid w:val="00157ABE"/>
    <w:rsid w:val="00157B75"/>
    <w:rsid w:val="00157BFE"/>
    <w:rsid w:val="00160A82"/>
    <w:rsid w:val="00160BAA"/>
    <w:rsid w:val="00160D79"/>
    <w:rsid w:val="00160E33"/>
    <w:rsid w:val="00160EFD"/>
    <w:rsid w:val="00160FBB"/>
    <w:rsid w:val="0016105B"/>
    <w:rsid w:val="0016107A"/>
    <w:rsid w:val="0016123A"/>
    <w:rsid w:val="001614B9"/>
    <w:rsid w:val="0016160E"/>
    <w:rsid w:val="00161EA5"/>
    <w:rsid w:val="001624CC"/>
    <w:rsid w:val="00162752"/>
    <w:rsid w:val="0016277B"/>
    <w:rsid w:val="00162823"/>
    <w:rsid w:val="0016365E"/>
    <w:rsid w:val="00163BDB"/>
    <w:rsid w:val="00163D69"/>
    <w:rsid w:val="00164967"/>
    <w:rsid w:val="00164E77"/>
    <w:rsid w:val="00164F97"/>
    <w:rsid w:val="001653ED"/>
    <w:rsid w:val="00165650"/>
    <w:rsid w:val="00165D6B"/>
    <w:rsid w:val="0016630D"/>
    <w:rsid w:val="00166B15"/>
    <w:rsid w:val="00166FDD"/>
    <w:rsid w:val="0016779E"/>
    <w:rsid w:val="00167ABE"/>
    <w:rsid w:val="00167CC9"/>
    <w:rsid w:val="001701CF"/>
    <w:rsid w:val="00170306"/>
    <w:rsid w:val="0017030D"/>
    <w:rsid w:val="0017033C"/>
    <w:rsid w:val="00170436"/>
    <w:rsid w:val="0017044D"/>
    <w:rsid w:val="00170CE1"/>
    <w:rsid w:val="00171026"/>
    <w:rsid w:val="0017112B"/>
    <w:rsid w:val="001713EF"/>
    <w:rsid w:val="00171D14"/>
    <w:rsid w:val="0017265E"/>
    <w:rsid w:val="00172811"/>
    <w:rsid w:val="00172D1A"/>
    <w:rsid w:val="00173171"/>
    <w:rsid w:val="001734D8"/>
    <w:rsid w:val="00173565"/>
    <w:rsid w:val="00173A5D"/>
    <w:rsid w:val="00173F66"/>
    <w:rsid w:val="001741A0"/>
    <w:rsid w:val="001741A3"/>
    <w:rsid w:val="001748F5"/>
    <w:rsid w:val="00175282"/>
    <w:rsid w:val="0017539D"/>
    <w:rsid w:val="0017565D"/>
    <w:rsid w:val="00175A6F"/>
    <w:rsid w:val="00175E66"/>
    <w:rsid w:val="00176629"/>
    <w:rsid w:val="00176BDE"/>
    <w:rsid w:val="00176EC8"/>
    <w:rsid w:val="0017749A"/>
    <w:rsid w:val="00177A71"/>
    <w:rsid w:val="00177D26"/>
    <w:rsid w:val="00180010"/>
    <w:rsid w:val="001807F8"/>
    <w:rsid w:val="001808C1"/>
    <w:rsid w:val="00181010"/>
    <w:rsid w:val="00181089"/>
    <w:rsid w:val="0018125F"/>
    <w:rsid w:val="001814A6"/>
    <w:rsid w:val="00181664"/>
    <w:rsid w:val="001816E6"/>
    <w:rsid w:val="001817FC"/>
    <w:rsid w:val="0018207F"/>
    <w:rsid w:val="00182132"/>
    <w:rsid w:val="00182848"/>
    <w:rsid w:val="001828E5"/>
    <w:rsid w:val="00182C3C"/>
    <w:rsid w:val="00182EE4"/>
    <w:rsid w:val="001830DE"/>
    <w:rsid w:val="00183164"/>
    <w:rsid w:val="0018319A"/>
    <w:rsid w:val="00183C69"/>
    <w:rsid w:val="00184867"/>
    <w:rsid w:val="00184D80"/>
    <w:rsid w:val="00184DD9"/>
    <w:rsid w:val="00184E2A"/>
    <w:rsid w:val="00184EB5"/>
    <w:rsid w:val="00184EEE"/>
    <w:rsid w:val="0018503C"/>
    <w:rsid w:val="0018513D"/>
    <w:rsid w:val="001854BA"/>
    <w:rsid w:val="0018559F"/>
    <w:rsid w:val="00185674"/>
    <w:rsid w:val="00185A32"/>
    <w:rsid w:val="00185A43"/>
    <w:rsid w:val="00185AB3"/>
    <w:rsid w:val="00186AB2"/>
    <w:rsid w:val="0018708E"/>
    <w:rsid w:val="0018718C"/>
    <w:rsid w:val="0018783C"/>
    <w:rsid w:val="001878D4"/>
    <w:rsid w:val="00187950"/>
    <w:rsid w:val="00187A47"/>
    <w:rsid w:val="00187A5B"/>
    <w:rsid w:val="00187EBA"/>
    <w:rsid w:val="00190469"/>
    <w:rsid w:val="00190C32"/>
    <w:rsid w:val="0019175A"/>
    <w:rsid w:val="0019185C"/>
    <w:rsid w:val="00191B2D"/>
    <w:rsid w:val="00191F81"/>
    <w:rsid w:val="00192615"/>
    <w:rsid w:val="001929CD"/>
    <w:rsid w:val="00192B9C"/>
    <w:rsid w:val="00192D7C"/>
    <w:rsid w:val="00192DA1"/>
    <w:rsid w:val="00193112"/>
    <w:rsid w:val="001935B1"/>
    <w:rsid w:val="001935E5"/>
    <w:rsid w:val="00193705"/>
    <w:rsid w:val="001937F4"/>
    <w:rsid w:val="00193F96"/>
    <w:rsid w:val="00194959"/>
    <w:rsid w:val="00194A80"/>
    <w:rsid w:val="00194FC6"/>
    <w:rsid w:val="00195234"/>
    <w:rsid w:val="00195315"/>
    <w:rsid w:val="001954EC"/>
    <w:rsid w:val="00195565"/>
    <w:rsid w:val="001960CB"/>
    <w:rsid w:val="001961F0"/>
    <w:rsid w:val="0019680D"/>
    <w:rsid w:val="00196813"/>
    <w:rsid w:val="00196C7A"/>
    <w:rsid w:val="00196D7F"/>
    <w:rsid w:val="001973B3"/>
    <w:rsid w:val="0019743F"/>
    <w:rsid w:val="00197486"/>
    <w:rsid w:val="0019752B"/>
    <w:rsid w:val="00197717"/>
    <w:rsid w:val="00197A50"/>
    <w:rsid w:val="001A05E4"/>
    <w:rsid w:val="001A09C8"/>
    <w:rsid w:val="001A0A2B"/>
    <w:rsid w:val="001A13EB"/>
    <w:rsid w:val="001A18A4"/>
    <w:rsid w:val="001A1C1C"/>
    <w:rsid w:val="001A21BC"/>
    <w:rsid w:val="001A3661"/>
    <w:rsid w:val="001A376C"/>
    <w:rsid w:val="001A3F32"/>
    <w:rsid w:val="001A472E"/>
    <w:rsid w:val="001A4D51"/>
    <w:rsid w:val="001A5108"/>
    <w:rsid w:val="001A52A5"/>
    <w:rsid w:val="001A5377"/>
    <w:rsid w:val="001A5BA9"/>
    <w:rsid w:val="001A5BAB"/>
    <w:rsid w:val="001A5E8E"/>
    <w:rsid w:val="001A5FFF"/>
    <w:rsid w:val="001A60CA"/>
    <w:rsid w:val="001A6464"/>
    <w:rsid w:val="001A6731"/>
    <w:rsid w:val="001A6920"/>
    <w:rsid w:val="001A6965"/>
    <w:rsid w:val="001A71AB"/>
    <w:rsid w:val="001A762E"/>
    <w:rsid w:val="001A7771"/>
    <w:rsid w:val="001A7F2A"/>
    <w:rsid w:val="001A7F77"/>
    <w:rsid w:val="001B00C8"/>
    <w:rsid w:val="001B0F5E"/>
    <w:rsid w:val="001B179F"/>
    <w:rsid w:val="001B1CF6"/>
    <w:rsid w:val="001B1EAE"/>
    <w:rsid w:val="001B1FDE"/>
    <w:rsid w:val="001B2D40"/>
    <w:rsid w:val="001B32F8"/>
    <w:rsid w:val="001B372E"/>
    <w:rsid w:val="001B3D19"/>
    <w:rsid w:val="001B3FDB"/>
    <w:rsid w:val="001B41C2"/>
    <w:rsid w:val="001B432E"/>
    <w:rsid w:val="001B440F"/>
    <w:rsid w:val="001B4506"/>
    <w:rsid w:val="001B49F4"/>
    <w:rsid w:val="001B4AAD"/>
    <w:rsid w:val="001B4B68"/>
    <w:rsid w:val="001B4E1A"/>
    <w:rsid w:val="001B4FB9"/>
    <w:rsid w:val="001B5E84"/>
    <w:rsid w:val="001B6545"/>
    <w:rsid w:val="001B6A9F"/>
    <w:rsid w:val="001B6F36"/>
    <w:rsid w:val="001B76E5"/>
    <w:rsid w:val="001B7A3F"/>
    <w:rsid w:val="001B7D32"/>
    <w:rsid w:val="001C07C9"/>
    <w:rsid w:val="001C0B9D"/>
    <w:rsid w:val="001C0BBC"/>
    <w:rsid w:val="001C0DAE"/>
    <w:rsid w:val="001C1107"/>
    <w:rsid w:val="001C1706"/>
    <w:rsid w:val="001C1A7E"/>
    <w:rsid w:val="001C1D00"/>
    <w:rsid w:val="001C1FE9"/>
    <w:rsid w:val="001C21F1"/>
    <w:rsid w:val="001C263D"/>
    <w:rsid w:val="001C2D8A"/>
    <w:rsid w:val="001C2E46"/>
    <w:rsid w:val="001C2FDF"/>
    <w:rsid w:val="001C30EE"/>
    <w:rsid w:val="001C3175"/>
    <w:rsid w:val="001C3513"/>
    <w:rsid w:val="001C3560"/>
    <w:rsid w:val="001C35DA"/>
    <w:rsid w:val="001C3D21"/>
    <w:rsid w:val="001C400A"/>
    <w:rsid w:val="001C4AF0"/>
    <w:rsid w:val="001C4E77"/>
    <w:rsid w:val="001C4FAD"/>
    <w:rsid w:val="001C5315"/>
    <w:rsid w:val="001C53EA"/>
    <w:rsid w:val="001C5682"/>
    <w:rsid w:val="001C5A96"/>
    <w:rsid w:val="001C5B25"/>
    <w:rsid w:val="001C5CC0"/>
    <w:rsid w:val="001C5F75"/>
    <w:rsid w:val="001C6089"/>
    <w:rsid w:val="001C60A5"/>
    <w:rsid w:val="001C6616"/>
    <w:rsid w:val="001C6750"/>
    <w:rsid w:val="001C687D"/>
    <w:rsid w:val="001C6915"/>
    <w:rsid w:val="001C76D3"/>
    <w:rsid w:val="001D00D8"/>
    <w:rsid w:val="001D071F"/>
    <w:rsid w:val="001D076A"/>
    <w:rsid w:val="001D0DF1"/>
    <w:rsid w:val="001D0ED7"/>
    <w:rsid w:val="001D0F27"/>
    <w:rsid w:val="001D0FA8"/>
    <w:rsid w:val="001D1394"/>
    <w:rsid w:val="001D17E6"/>
    <w:rsid w:val="001D1805"/>
    <w:rsid w:val="001D1D44"/>
    <w:rsid w:val="001D20F3"/>
    <w:rsid w:val="001D2E8B"/>
    <w:rsid w:val="001D32A7"/>
    <w:rsid w:val="001D376F"/>
    <w:rsid w:val="001D410E"/>
    <w:rsid w:val="001D415E"/>
    <w:rsid w:val="001D43EF"/>
    <w:rsid w:val="001D45EA"/>
    <w:rsid w:val="001D5371"/>
    <w:rsid w:val="001D5808"/>
    <w:rsid w:val="001D5827"/>
    <w:rsid w:val="001D6045"/>
    <w:rsid w:val="001D60BA"/>
    <w:rsid w:val="001D65A3"/>
    <w:rsid w:val="001D65DB"/>
    <w:rsid w:val="001D6AB4"/>
    <w:rsid w:val="001D6DB1"/>
    <w:rsid w:val="001D6DEE"/>
    <w:rsid w:val="001D6ECA"/>
    <w:rsid w:val="001D77EA"/>
    <w:rsid w:val="001D7E1A"/>
    <w:rsid w:val="001D7E37"/>
    <w:rsid w:val="001D7E96"/>
    <w:rsid w:val="001D7F35"/>
    <w:rsid w:val="001E004A"/>
    <w:rsid w:val="001E031D"/>
    <w:rsid w:val="001E0350"/>
    <w:rsid w:val="001E1388"/>
    <w:rsid w:val="001E149B"/>
    <w:rsid w:val="001E1958"/>
    <w:rsid w:val="001E1A95"/>
    <w:rsid w:val="001E1CD3"/>
    <w:rsid w:val="001E20D5"/>
    <w:rsid w:val="001E2272"/>
    <w:rsid w:val="001E23B5"/>
    <w:rsid w:val="001E24A8"/>
    <w:rsid w:val="001E26B9"/>
    <w:rsid w:val="001E27C6"/>
    <w:rsid w:val="001E2994"/>
    <w:rsid w:val="001E2A18"/>
    <w:rsid w:val="001E2D55"/>
    <w:rsid w:val="001E309B"/>
    <w:rsid w:val="001E3212"/>
    <w:rsid w:val="001E3F54"/>
    <w:rsid w:val="001E40E6"/>
    <w:rsid w:val="001E4670"/>
    <w:rsid w:val="001E4841"/>
    <w:rsid w:val="001E4913"/>
    <w:rsid w:val="001E4F14"/>
    <w:rsid w:val="001E4FFD"/>
    <w:rsid w:val="001E54AD"/>
    <w:rsid w:val="001E5A95"/>
    <w:rsid w:val="001E5CA6"/>
    <w:rsid w:val="001E5F39"/>
    <w:rsid w:val="001E5FC3"/>
    <w:rsid w:val="001E6435"/>
    <w:rsid w:val="001E65EA"/>
    <w:rsid w:val="001E66F7"/>
    <w:rsid w:val="001E67C6"/>
    <w:rsid w:val="001E6A28"/>
    <w:rsid w:val="001E6CF0"/>
    <w:rsid w:val="001E6E30"/>
    <w:rsid w:val="001E7149"/>
    <w:rsid w:val="001E7292"/>
    <w:rsid w:val="001E7488"/>
    <w:rsid w:val="001E7EBC"/>
    <w:rsid w:val="001F0116"/>
    <w:rsid w:val="001F0ADD"/>
    <w:rsid w:val="001F0B46"/>
    <w:rsid w:val="001F10CD"/>
    <w:rsid w:val="001F1752"/>
    <w:rsid w:val="001F1926"/>
    <w:rsid w:val="001F2B0A"/>
    <w:rsid w:val="001F3013"/>
    <w:rsid w:val="001F3CB7"/>
    <w:rsid w:val="001F3E45"/>
    <w:rsid w:val="001F40D3"/>
    <w:rsid w:val="001F414C"/>
    <w:rsid w:val="001F41F0"/>
    <w:rsid w:val="001F4480"/>
    <w:rsid w:val="001F46B5"/>
    <w:rsid w:val="001F4712"/>
    <w:rsid w:val="001F494F"/>
    <w:rsid w:val="001F4A12"/>
    <w:rsid w:val="001F4AA6"/>
    <w:rsid w:val="001F4C3E"/>
    <w:rsid w:val="001F551B"/>
    <w:rsid w:val="001F5643"/>
    <w:rsid w:val="001F5A4E"/>
    <w:rsid w:val="001F5AE6"/>
    <w:rsid w:val="001F5AF1"/>
    <w:rsid w:val="001F608B"/>
    <w:rsid w:val="001F6113"/>
    <w:rsid w:val="001F61D4"/>
    <w:rsid w:val="001F63D2"/>
    <w:rsid w:val="001F68B0"/>
    <w:rsid w:val="001F6BD4"/>
    <w:rsid w:val="001F6EB2"/>
    <w:rsid w:val="001F7063"/>
    <w:rsid w:val="001F7D34"/>
    <w:rsid w:val="001F7ED6"/>
    <w:rsid w:val="00200672"/>
    <w:rsid w:val="00200882"/>
    <w:rsid w:val="00201A9D"/>
    <w:rsid w:val="00201CF3"/>
    <w:rsid w:val="00201D19"/>
    <w:rsid w:val="002020D8"/>
    <w:rsid w:val="00202449"/>
    <w:rsid w:val="00202999"/>
    <w:rsid w:val="00203047"/>
    <w:rsid w:val="00203194"/>
    <w:rsid w:val="00203843"/>
    <w:rsid w:val="002038B8"/>
    <w:rsid w:val="00203A34"/>
    <w:rsid w:val="00203AE3"/>
    <w:rsid w:val="00203D0A"/>
    <w:rsid w:val="00203E56"/>
    <w:rsid w:val="00203E95"/>
    <w:rsid w:val="0020429C"/>
    <w:rsid w:val="002046E1"/>
    <w:rsid w:val="00204939"/>
    <w:rsid w:val="0020521D"/>
    <w:rsid w:val="002052F5"/>
    <w:rsid w:val="00205305"/>
    <w:rsid w:val="00205A08"/>
    <w:rsid w:val="002062A3"/>
    <w:rsid w:val="00206347"/>
    <w:rsid w:val="002066F8"/>
    <w:rsid w:val="0020673D"/>
    <w:rsid w:val="00206770"/>
    <w:rsid w:val="00206B53"/>
    <w:rsid w:val="00206DE3"/>
    <w:rsid w:val="00206E65"/>
    <w:rsid w:val="00207527"/>
    <w:rsid w:val="00207651"/>
    <w:rsid w:val="00207748"/>
    <w:rsid w:val="00207D54"/>
    <w:rsid w:val="00210135"/>
    <w:rsid w:val="00210482"/>
    <w:rsid w:val="002105C6"/>
    <w:rsid w:val="00210A61"/>
    <w:rsid w:val="00210C8F"/>
    <w:rsid w:val="00211284"/>
    <w:rsid w:val="00211FA3"/>
    <w:rsid w:val="00211FBF"/>
    <w:rsid w:val="002121A9"/>
    <w:rsid w:val="00212621"/>
    <w:rsid w:val="0021285E"/>
    <w:rsid w:val="00212DBB"/>
    <w:rsid w:val="00213220"/>
    <w:rsid w:val="00213441"/>
    <w:rsid w:val="002139D5"/>
    <w:rsid w:val="00213BD7"/>
    <w:rsid w:val="00213D3F"/>
    <w:rsid w:val="0021438C"/>
    <w:rsid w:val="002144ED"/>
    <w:rsid w:val="00214D66"/>
    <w:rsid w:val="00214DEC"/>
    <w:rsid w:val="00214F05"/>
    <w:rsid w:val="00215132"/>
    <w:rsid w:val="002153B2"/>
    <w:rsid w:val="00216290"/>
    <w:rsid w:val="002165F6"/>
    <w:rsid w:val="00216BB8"/>
    <w:rsid w:val="00217086"/>
    <w:rsid w:val="00217146"/>
    <w:rsid w:val="002171B7"/>
    <w:rsid w:val="0021730D"/>
    <w:rsid w:val="00217C01"/>
    <w:rsid w:val="00217CBA"/>
    <w:rsid w:val="00217F3D"/>
    <w:rsid w:val="00220384"/>
    <w:rsid w:val="0022040B"/>
    <w:rsid w:val="002206F2"/>
    <w:rsid w:val="00220958"/>
    <w:rsid w:val="002210B7"/>
    <w:rsid w:val="00221573"/>
    <w:rsid w:val="0022175E"/>
    <w:rsid w:val="00221C89"/>
    <w:rsid w:val="00221F24"/>
    <w:rsid w:val="0022225B"/>
    <w:rsid w:val="0022290F"/>
    <w:rsid w:val="00222A5C"/>
    <w:rsid w:val="00222B6C"/>
    <w:rsid w:val="00222C02"/>
    <w:rsid w:val="00222E7C"/>
    <w:rsid w:val="002234A2"/>
    <w:rsid w:val="002236A4"/>
    <w:rsid w:val="00223707"/>
    <w:rsid w:val="002240BC"/>
    <w:rsid w:val="0022428E"/>
    <w:rsid w:val="002243E2"/>
    <w:rsid w:val="002245F6"/>
    <w:rsid w:val="00224D2B"/>
    <w:rsid w:val="002254BB"/>
    <w:rsid w:val="00225703"/>
    <w:rsid w:val="002259D9"/>
    <w:rsid w:val="00225A3B"/>
    <w:rsid w:val="00225AC9"/>
    <w:rsid w:val="00225F5B"/>
    <w:rsid w:val="00226010"/>
    <w:rsid w:val="00226139"/>
    <w:rsid w:val="00226525"/>
    <w:rsid w:val="002268A0"/>
    <w:rsid w:val="00226DED"/>
    <w:rsid w:val="00226EE3"/>
    <w:rsid w:val="00227469"/>
    <w:rsid w:val="002279B4"/>
    <w:rsid w:val="00227AF2"/>
    <w:rsid w:val="00227B2F"/>
    <w:rsid w:val="00227E8C"/>
    <w:rsid w:val="00230468"/>
    <w:rsid w:val="00230523"/>
    <w:rsid w:val="0023062D"/>
    <w:rsid w:val="002307AF"/>
    <w:rsid w:val="0023083D"/>
    <w:rsid w:val="00230E35"/>
    <w:rsid w:val="00231301"/>
    <w:rsid w:val="00231807"/>
    <w:rsid w:val="00231A53"/>
    <w:rsid w:val="00232280"/>
    <w:rsid w:val="00232A92"/>
    <w:rsid w:val="00232B03"/>
    <w:rsid w:val="00232CA6"/>
    <w:rsid w:val="00232EED"/>
    <w:rsid w:val="002333B4"/>
    <w:rsid w:val="00233661"/>
    <w:rsid w:val="002338BC"/>
    <w:rsid w:val="0023391A"/>
    <w:rsid w:val="00233BE8"/>
    <w:rsid w:val="00233EDB"/>
    <w:rsid w:val="00233FCF"/>
    <w:rsid w:val="00233FE6"/>
    <w:rsid w:val="0023403F"/>
    <w:rsid w:val="002346EF"/>
    <w:rsid w:val="00234744"/>
    <w:rsid w:val="002349D7"/>
    <w:rsid w:val="0023500A"/>
    <w:rsid w:val="00235233"/>
    <w:rsid w:val="00235357"/>
    <w:rsid w:val="002359FA"/>
    <w:rsid w:val="00235B29"/>
    <w:rsid w:val="00235F04"/>
    <w:rsid w:val="002363F9"/>
    <w:rsid w:val="0023648E"/>
    <w:rsid w:val="002364C6"/>
    <w:rsid w:val="002364D0"/>
    <w:rsid w:val="00236E8A"/>
    <w:rsid w:val="00237746"/>
    <w:rsid w:val="00237B01"/>
    <w:rsid w:val="002400A4"/>
    <w:rsid w:val="00240554"/>
    <w:rsid w:val="002409FE"/>
    <w:rsid w:val="00240D42"/>
    <w:rsid w:val="00240D68"/>
    <w:rsid w:val="00241077"/>
    <w:rsid w:val="00241742"/>
    <w:rsid w:val="0024179B"/>
    <w:rsid w:val="00241BF5"/>
    <w:rsid w:val="00241C53"/>
    <w:rsid w:val="00241E23"/>
    <w:rsid w:val="002420FC"/>
    <w:rsid w:val="00242313"/>
    <w:rsid w:val="002423E0"/>
    <w:rsid w:val="002425E8"/>
    <w:rsid w:val="00242616"/>
    <w:rsid w:val="0024272B"/>
    <w:rsid w:val="00242776"/>
    <w:rsid w:val="00242EA2"/>
    <w:rsid w:val="002433D0"/>
    <w:rsid w:val="00243776"/>
    <w:rsid w:val="00243B04"/>
    <w:rsid w:val="00244263"/>
    <w:rsid w:val="002443FC"/>
    <w:rsid w:val="00244459"/>
    <w:rsid w:val="0024494D"/>
    <w:rsid w:val="00244BB2"/>
    <w:rsid w:val="00245315"/>
    <w:rsid w:val="00245696"/>
    <w:rsid w:val="0024576B"/>
    <w:rsid w:val="002459D4"/>
    <w:rsid w:val="00245B0F"/>
    <w:rsid w:val="00245D17"/>
    <w:rsid w:val="00245D7B"/>
    <w:rsid w:val="0024601D"/>
    <w:rsid w:val="002461FE"/>
    <w:rsid w:val="00246225"/>
    <w:rsid w:val="00246CF8"/>
    <w:rsid w:val="00246D59"/>
    <w:rsid w:val="00247233"/>
    <w:rsid w:val="002473D9"/>
    <w:rsid w:val="002474D3"/>
    <w:rsid w:val="00247961"/>
    <w:rsid w:val="00247E16"/>
    <w:rsid w:val="00250441"/>
    <w:rsid w:val="00250A41"/>
    <w:rsid w:val="00250B5E"/>
    <w:rsid w:val="00250C62"/>
    <w:rsid w:val="00251B7B"/>
    <w:rsid w:val="00251F1B"/>
    <w:rsid w:val="00252006"/>
    <w:rsid w:val="0025235E"/>
    <w:rsid w:val="00253457"/>
    <w:rsid w:val="0025396C"/>
    <w:rsid w:val="00253A0B"/>
    <w:rsid w:val="00253BE7"/>
    <w:rsid w:val="00253C0E"/>
    <w:rsid w:val="00253C72"/>
    <w:rsid w:val="00254053"/>
    <w:rsid w:val="002541CA"/>
    <w:rsid w:val="00254422"/>
    <w:rsid w:val="00254684"/>
    <w:rsid w:val="0025481C"/>
    <w:rsid w:val="002550BF"/>
    <w:rsid w:val="00255107"/>
    <w:rsid w:val="0025523B"/>
    <w:rsid w:val="0025537B"/>
    <w:rsid w:val="002558F6"/>
    <w:rsid w:val="00255F97"/>
    <w:rsid w:val="002560D7"/>
    <w:rsid w:val="00256732"/>
    <w:rsid w:val="00256831"/>
    <w:rsid w:val="002570B6"/>
    <w:rsid w:val="002571C3"/>
    <w:rsid w:val="00257C88"/>
    <w:rsid w:val="00260044"/>
    <w:rsid w:val="0026016C"/>
    <w:rsid w:val="00260628"/>
    <w:rsid w:val="002606A9"/>
    <w:rsid w:val="00260DDC"/>
    <w:rsid w:val="00261582"/>
    <w:rsid w:val="00261621"/>
    <w:rsid w:val="00261628"/>
    <w:rsid w:val="00261817"/>
    <w:rsid w:val="00261828"/>
    <w:rsid w:val="002618E4"/>
    <w:rsid w:val="00261B04"/>
    <w:rsid w:val="00261C00"/>
    <w:rsid w:val="00261CA6"/>
    <w:rsid w:val="00262154"/>
    <w:rsid w:val="00262203"/>
    <w:rsid w:val="00262254"/>
    <w:rsid w:val="002623B3"/>
    <w:rsid w:val="00262982"/>
    <w:rsid w:val="0026306A"/>
    <w:rsid w:val="00263333"/>
    <w:rsid w:val="002634D2"/>
    <w:rsid w:val="002639D9"/>
    <w:rsid w:val="00263D55"/>
    <w:rsid w:val="00263F62"/>
    <w:rsid w:val="002641F0"/>
    <w:rsid w:val="0026432D"/>
    <w:rsid w:val="00264837"/>
    <w:rsid w:val="00264854"/>
    <w:rsid w:val="00264C3E"/>
    <w:rsid w:val="00265070"/>
    <w:rsid w:val="002655F6"/>
    <w:rsid w:val="00265B37"/>
    <w:rsid w:val="00265FD7"/>
    <w:rsid w:val="002665B8"/>
    <w:rsid w:val="00266625"/>
    <w:rsid w:val="00267863"/>
    <w:rsid w:val="00267D8D"/>
    <w:rsid w:val="00270013"/>
    <w:rsid w:val="00270020"/>
    <w:rsid w:val="0027067C"/>
    <w:rsid w:val="0027131A"/>
    <w:rsid w:val="00271A84"/>
    <w:rsid w:val="002721E7"/>
    <w:rsid w:val="00272662"/>
    <w:rsid w:val="002728DD"/>
    <w:rsid w:val="002728E7"/>
    <w:rsid w:val="00272E02"/>
    <w:rsid w:val="0027308C"/>
    <w:rsid w:val="002739CB"/>
    <w:rsid w:val="00274836"/>
    <w:rsid w:val="00274A72"/>
    <w:rsid w:val="00274AF9"/>
    <w:rsid w:val="00274FA8"/>
    <w:rsid w:val="00275445"/>
    <w:rsid w:val="0027573A"/>
    <w:rsid w:val="00275BF0"/>
    <w:rsid w:val="00275E7A"/>
    <w:rsid w:val="00276054"/>
    <w:rsid w:val="00276CC8"/>
    <w:rsid w:val="00276D1E"/>
    <w:rsid w:val="00276DE8"/>
    <w:rsid w:val="0027712D"/>
    <w:rsid w:val="0027726F"/>
    <w:rsid w:val="00277296"/>
    <w:rsid w:val="002778EE"/>
    <w:rsid w:val="00277A78"/>
    <w:rsid w:val="002802F8"/>
    <w:rsid w:val="00280387"/>
    <w:rsid w:val="00280801"/>
    <w:rsid w:val="00280A82"/>
    <w:rsid w:val="00280BDE"/>
    <w:rsid w:val="00280CAF"/>
    <w:rsid w:val="00280D49"/>
    <w:rsid w:val="00281919"/>
    <w:rsid w:val="00281ADC"/>
    <w:rsid w:val="00281AFF"/>
    <w:rsid w:val="00281BB1"/>
    <w:rsid w:val="002820F0"/>
    <w:rsid w:val="002821B9"/>
    <w:rsid w:val="0028231D"/>
    <w:rsid w:val="002825F5"/>
    <w:rsid w:val="002825F6"/>
    <w:rsid w:val="002832BF"/>
    <w:rsid w:val="002838FE"/>
    <w:rsid w:val="00283A14"/>
    <w:rsid w:val="00283CF1"/>
    <w:rsid w:val="00284890"/>
    <w:rsid w:val="00284E6B"/>
    <w:rsid w:val="00285535"/>
    <w:rsid w:val="002858EB"/>
    <w:rsid w:val="00285E49"/>
    <w:rsid w:val="002861E9"/>
    <w:rsid w:val="00286514"/>
    <w:rsid w:val="00286871"/>
    <w:rsid w:val="00286B75"/>
    <w:rsid w:val="00286C0B"/>
    <w:rsid w:val="002871DA"/>
    <w:rsid w:val="002872CD"/>
    <w:rsid w:val="0028737C"/>
    <w:rsid w:val="002877B3"/>
    <w:rsid w:val="002879DC"/>
    <w:rsid w:val="002879E7"/>
    <w:rsid w:val="00287A01"/>
    <w:rsid w:val="00287FE0"/>
    <w:rsid w:val="00290020"/>
    <w:rsid w:val="00290119"/>
    <w:rsid w:val="0029054E"/>
    <w:rsid w:val="0029088E"/>
    <w:rsid w:val="002911F4"/>
    <w:rsid w:val="0029169F"/>
    <w:rsid w:val="00291876"/>
    <w:rsid w:val="00291C78"/>
    <w:rsid w:val="00291DB6"/>
    <w:rsid w:val="002921CB"/>
    <w:rsid w:val="00292261"/>
    <w:rsid w:val="00292442"/>
    <w:rsid w:val="00292C22"/>
    <w:rsid w:val="00292F25"/>
    <w:rsid w:val="002931C5"/>
    <w:rsid w:val="002933C9"/>
    <w:rsid w:val="00293696"/>
    <w:rsid w:val="00293834"/>
    <w:rsid w:val="002939D4"/>
    <w:rsid w:val="00293A67"/>
    <w:rsid w:val="00293C0F"/>
    <w:rsid w:val="002949CD"/>
    <w:rsid w:val="00294A6A"/>
    <w:rsid w:val="00294BDE"/>
    <w:rsid w:val="0029501E"/>
    <w:rsid w:val="0029504F"/>
    <w:rsid w:val="0029563D"/>
    <w:rsid w:val="00295B4C"/>
    <w:rsid w:val="00295F33"/>
    <w:rsid w:val="002960A0"/>
    <w:rsid w:val="00296618"/>
    <w:rsid w:val="00296D2B"/>
    <w:rsid w:val="00296F25"/>
    <w:rsid w:val="002971BD"/>
    <w:rsid w:val="00297201"/>
    <w:rsid w:val="0029777C"/>
    <w:rsid w:val="00297A71"/>
    <w:rsid w:val="00297ABE"/>
    <w:rsid w:val="00297C31"/>
    <w:rsid w:val="00297D52"/>
    <w:rsid w:val="00297DB6"/>
    <w:rsid w:val="002A033E"/>
    <w:rsid w:val="002A051E"/>
    <w:rsid w:val="002A0536"/>
    <w:rsid w:val="002A0561"/>
    <w:rsid w:val="002A062D"/>
    <w:rsid w:val="002A073B"/>
    <w:rsid w:val="002A09DE"/>
    <w:rsid w:val="002A0F47"/>
    <w:rsid w:val="002A1AB7"/>
    <w:rsid w:val="002A1EE0"/>
    <w:rsid w:val="002A201E"/>
    <w:rsid w:val="002A2106"/>
    <w:rsid w:val="002A22EE"/>
    <w:rsid w:val="002A2719"/>
    <w:rsid w:val="002A29F3"/>
    <w:rsid w:val="002A2D7B"/>
    <w:rsid w:val="002A343F"/>
    <w:rsid w:val="002A35A9"/>
    <w:rsid w:val="002A3893"/>
    <w:rsid w:val="002A3B0E"/>
    <w:rsid w:val="002A3DC3"/>
    <w:rsid w:val="002A3EE0"/>
    <w:rsid w:val="002A403F"/>
    <w:rsid w:val="002A4995"/>
    <w:rsid w:val="002A4B7A"/>
    <w:rsid w:val="002A4EBB"/>
    <w:rsid w:val="002A5105"/>
    <w:rsid w:val="002A5AD4"/>
    <w:rsid w:val="002A5B9D"/>
    <w:rsid w:val="002A5CC2"/>
    <w:rsid w:val="002A5DE6"/>
    <w:rsid w:val="002A620D"/>
    <w:rsid w:val="002A641F"/>
    <w:rsid w:val="002A69B8"/>
    <w:rsid w:val="002A6C89"/>
    <w:rsid w:val="002A76B8"/>
    <w:rsid w:val="002A7A54"/>
    <w:rsid w:val="002B041E"/>
    <w:rsid w:val="002B04D5"/>
    <w:rsid w:val="002B0777"/>
    <w:rsid w:val="002B0935"/>
    <w:rsid w:val="002B0C13"/>
    <w:rsid w:val="002B0C7C"/>
    <w:rsid w:val="002B0E9A"/>
    <w:rsid w:val="002B11C5"/>
    <w:rsid w:val="002B11FA"/>
    <w:rsid w:val="002B1253"/>
    <w:rsid w:val="002B127B"/>
    <w:rsid w:val="002B14C0"/>
    <w:rsid w:val="002B159E"/>
    <w:rsid w:val="002B2063"/>
    <w:rsid w:val="002B2397"/>
    <w:rsid w:val="002B24E2"/>
    <w:rsid w:val="002B250C"/>
    <w:rsid w:val="002B27B1"/>
    <w:rsid w:val="002B2DDF"/>
    <w:rsid w:val="002B301E"/>
    <w:rsid w:val="002B31C6"/>
    <w:rsid w:val="002B3384"/>
    <w:rsid w:val="002B3677"/>
    <w:rsid w:val="002B3DBE"/>
    <w:rsid w:val="002B3DF8"/>
    <w:rsid w:val="002B3E81"/>
    <w:rsid w:val="002B434E"/>
    <w:rsid w:val="002B4934"/>
    <w:rsid w:val="002B4B55"/>
    <w:rsid w:val="002B4D47"/>
    <w:rsid w:val="002B4EA8"/>
    <w:rsid w:val="002B4FA5"/>
    <w:rsid w:val="002B517E"/>
    <w:rsid w:val="002B5A15"/>
    <w:rsid w:val="002B5C01"/>
    <w:rsid w:val="002B5D7D"/>
    <w:rsid w:val="002B5D97"/>
    <w:rsid w:val="002B68BA"/>
    <w:rsid w:val="002B6B30"/>
    <w:rsid w:val="002B6BA8"/>
    <w:rsid w:val="002B72F8"/>
    <w:rsid w:val="002B766B"/>
    <w:rsid w:val="002B7A19"/>
    <w:rsid w:val="002C01AA"/>
    <w:rsid w:val="002C0672"/>
    <w:rsid w:val="002C071C"/>
    <w:rsid w:val="002C0B41"/>
    <w:rsid w:val="002C0D8D"/>
    <w:rsid w:val="002C0DEF"/>
    <w:rsid w:val="002C186A"/>
    <w:rsid w:val="002C1A7A"/>
    <w:rsid w:val="002C1F3B"/>
    <w:rsid w:val="002C22E5"/>
    <w:rsid w:val="002C30D9"/>
    <w:rsid w:val="002C3135"/>
    <w:rsid w:val="002C3348"/>
    <w:rsid w:val="002C3378"/>
    <w:rsid w:val="002C3AA4"/>
    <w:rsid w:val="002C3D08"/>
    <w:rsid w:val="002C3D5D"/>
    <w:rsid w:val="002C3EB9"/>
    <w:rsid w:val="002C40B7"/>
    <w:rsid w:val="002C4660"/>
    <w:rsid w:val="002C4B42"/>
    <w:rsid w:val="002C4ECA"/>
    <w:rsid w:val="002C503D"/>
    <w:rsid w:val="002C50E2"/>
    <w:rsid w:val="002C50EE"/>
    <w:rsid w:val="002C5539"/>
    <w:rsid w:val="002C56F6"/>
    <w:rsid w:val="002C580A"/>
    <w:rsid w:val="002C5878"/>
    <w:rsid w:val="002C58ED"/>
    <w:rsid w:val="002C593C"/>
    <w:rsid w:val="002C5D02"/>
    <w:rsid w:val="002C5D51"/>
    <w:rsid w:val="002C6A0D"/>
    <w:rsid w:val="002C6B25"/>
    <w:rsid w:val="002C6F8B"/>
    <w:rsid w:val="002C6FAB"/>
    <w:rsid w:val="002C7036"/>
    <w:rsid w:val="002C7631"/>
    <w:rsid w:val="002C7736"/>
    <w:rsid w:val="002C7E90"/>
    <w:rsid w:val="002D0190"/>
    <w:rsid w:val="002D0225"/>
    <w:rsid w:val="002D0908"/>
    <w:rsid w:val="002D11E0"/>
    <w:rsid w:val="002D1282"/>
    <w:rsid w:val="002D1332"/>
    <w:rsid w:val="002D138A"/>
    <w:rsid w:val="002D15B7"/>
    <w:rsid w:val="002D17F7"/>
    <w:rsid w:val="002D188E"/>
    <w:rsid w:val="002D1922"/>
    <w:rsid w:val="002D1D40"/>
    <w:rsid w:val="002D20FC"/>
    <w:rsid w:val="002D252F"/>
    <w:rsid w:val="002D2658"/>
    <w:rsid w:val="002D28C5"/>
    <w:rsid w:val="002D2917"/>
    <w:rsid w:val="002D2CE0"/>
    <w:rsid w:val="002D3442"/>
    <w:rsid w:val="002D3A1D"/>
    <w:rsid w:val="002D3ADA"/>
    <w:rsid w:val="002D4276"/>
    <w:rsid w:val="002D445F"/>
    <w:rsid w:val="002D45CA"/>
    <w:rsid w:val="002D4715"/>
    <w:rsid w:val="002D489D"/>
    <w:rsid w:val="002D4C07"/>
    <w:rsid w:val="002D5507"/>
    <w:rsid w:val="002D582E"/>
    <w:rsid w:val="002D586E"/>
    <w:rsid w:val="002D5893"/>
    <w:rsid w:val="002D6019"/>
    <w:rsid w:val="002D69BD"/>
    <w:rsid w:val="002D6F21"/>
    <w:rsid w:val="002D702F"/>
    <w:rsid w:val="002D790E"/>
    <w:rsid w:val="002D7BA6"/>
    <w:rsid w:val="002E0090"/>
    <w:rsid w:val="002E0091"/>
    <w:rsid w:val="002E021F"/>
    <w:rsid w:val="002E04F6"/>
    <w:rsid w:val="002E078F"/>
    <w:rsid w:val="002E0A42"/>
    <w:rsid w:val="002E0CA3"/>
    <w:rsid w:val="002E0CBF"/>
    <w:rsid w:val="002E11C0"/>
    <w:rsid w:val="002E128B"/>
    <w:rsid w:val="002E13E5"/>
    <w:rsid w:val="002E1D86"/>
    <w:rsid w:val="002E23F9"/>
    <w:rsid w:val="002E2821"/>
    <w:rsid w:val="002E29C6"/>
    <w:rsid w:val="002E29F6"/>
    <w:rsid w:val="002E30E3"/>
    <w:rsid w:val="002E3934"/>
    <w:rsid w:val="002E399D"/>
    <w:rsid w:val="002E3B57"/>
    <w:rsid w:val="002E3D3E"/>
    <w:rsid w:val="002E4056"/>
    <w:rsid w:val="002E41A2"/>
    <w:rsid w:val="002E45EE"/>
    <w:rsid w:val="002E5496"/>
    <w:rsid w:val="002E5671"/>
    <w:rsid w:val="002E5940"/>
    <w:rsid w:val="002E59F7"/>
    <w:rsid w:val="002E5A51"/>
    <w:rsid w:val="002E5C1D"/>
    <w:rsid w:val="002E6588"/>
    <w:rsid w:val="002E6589"/>
    <w:rsid w:val="002E6601"/>
    <w:rsid w:val="002E6758"/>
    <w:rsid w:val="002E7194"/>
    <w:rsid w:val="002E751A"/>
    <w:rsid w:val="002E76A4"/>
    <w:rsid w:val="002E7C68"/>
    <w:rsid w:val="002F001A"/>
    <w:rsid w:val="002F06A5"/>
    <w:rsid w:val="002F09E2"/>
    <w:rsid w:val="002F09EA"/>
    <w:rsid w:val="002F0B34"/>
    <w:rsid w:val="002F0BB5"/>
    <w:rsid w:val="002F1164"/>
    <w:rsid w:val="002F11BF"/>
    <w:rsid w:val="002F1321"/>
    <w:rsid w:val="002F13DE"/>
    <w:rsid w:val="002F145F"/>
    <w:rsid w:val="002F15C4"/>
    <w:rsid w:val="002F1654"/>
    <w:rsid w:val="002F224F"/>
    <w:rsid w:val="002F225A"/>
    <w:rsid w:val="002F29BA"/>
    <w:rsid w:val="002F2B37"/>
    <w:rsid w:val="002F2F2B"/>
    <w:rsid w:val="002F3584"/>
    <w:rsid w:val="002F3D92"/>
    <w:rsid w:val="002F3E7B"/>
    <w:rsid w:val="002F4291"/>
    <w:rsid w:val="002F4582"/>
    <w:rsid w:val="002F4FF6"/>
    <w:rsid w:val="002F537D"/>
    <w:rsid w:val="002F5503"/>
    <w:rsid w:val="002F5790"/>
    <w:rsid w:val="002F5A76"/>
    <w:rsid w:val="002F5E72"/>
    <w:rsid w:val="002F60E6"/>
    <w:rsid w:val="002F63F7"/>
    <w:rsid w:val="002F65AF"/>
    <w:rsid w:val="002F69AA"/>
    <w:rsid w:val="002F6CD1"/>
    <w:rsid w:val="002F6FE0"/>
    <w:rsid w:val="002F72BE"/>
    <w:rsid w:val="002F730D"/>
    <w:rsid w:val="002F7A84"/>
    <w:rsid w:val="003000CA"/>
    <w:rsid w:val="00300190"/>
    <w:rsid w:val="003009A4"/>
    <w:rsid w:val="00300E68"/>
    <w:rsid w:val="00301096"/>
    <w:rsid w:val="00301734"/>
    <w:rsid w:val="00301858"/>
    <w:rsid w:val="00301DB5"/>
    <w:rsid w:val="00301F25"/>
    <w:rsid w:val="00301FB7"/>
    <w:rsid w:val="00302726"/>
    <w:rsid w:val="00302A52"/>
    <w:rsid w:val="00302B26"/>
    <w:rsid w:val="00302D64"/>
    <w:rsid w:val="003031D3"/>
    <w:rsid w:val="0030377C"/>
    <w:rsid w:val="00303C96"/>
    <w:rsid w:val="00303CE8"/>
    <w:rsid w:val="00303FDE"/>
    <w:rsid w:val="003044D8"/>
    <w:rsid w:val="003046EE"/>
    <w:rsid w:val="00304C01"/>
    <w:rsid w:val="003054E6"/>
    <w:rsid w:val="003057B7"/>
    <w:rsid w:val="00305996"/>
    <w:rsid w:val="0030627F"/>
    <w:rsid w:val="00306350"/>
    <w:rsid w:val="00306A5F"/>
    <w:rsid w:val="00306E54"/>
    <w:rsid w:val="00306EC1"/>
    <w:rsid w:val="003070D2"/>
    <w:rsid w:val="003075DD"/>
    <w:rsid w:val="00307C59"/>
    <w:rsid w:val="00307F83"/>
    <w:rsid w:val="00310595"/>
    <w:rsid w:val="00310689"/>
    <w:rsid w:val="00310714"/>
    <w:rsid w:val="00310E18"/>
    <w:rsid w:val="00310EFD"/>
    <w:rsid w:val="00311010"/>
    <w:rsid w:val="00311108"/>
    <w:rsid w:val="00311159"/>
    <w:rsid w:val="00311574"/>
    <w:rsid w:val="00311856"/>
    <w:rsid w:val="00311AAA"/>
    <w:rsid w:val="00311D51"/>
    <w:rsid w:val="00311F15"/>
    <w:rsid w:val="003121BA"/>
    <w:rsid w:val="0031248A"/>
    <w:rsid w:val="003124A1"/>
    <w:rsid w:val="00312978"/>
    <w:rsid w:val="00312F1B"/>
    <w:rsid w:val="00313156"/>
    <w:rsid w:val="003133A2"/>
    <w:rsid w:val="003133C1"/>
    <w:rsid w:val="003134CA"/>
    <w:rsid w:val="00313D81"/>
    <w:rsid w:val="003145D5"/>
    <w:rsid w:val="00314BB6"/>
    <w:rsid w:val="00314CC9"/>
    <w:rsid w:val="00314EF7"/>
    <w:rsid w:val="00315020"/>
    <w:rsid w:val="0031610E"/>
    <w:rsid w:val="003161CB"/>
    <w:rsid w:val="00316338"/>
    <w:rsid w:val="00316871"/>
    <w:rsid w:val="00316F4D"/>
    <w:rsid w:val="0031712D"/>
    <w:rsid w:val="00317184"/>
    <w:rsid w:val="003173C1"/>
    <w:rsid w:val="00317887"/>
    <w:rsid w:val="00317ABA"/>
    <w:rsid w:val="00317C1C"/>
    <w:rsid w:val="00317C29"/>
    <w:rsid w:val="00317CF2"/>
    <w:rsid w:val="00317D95"/>
    <w:rsid w:val="00320346"/>
    <w:rsid w:val="00320601"/>
    <w:rsid w:val="0032060D"/>
    <w:rsid w:val="0032141D"/>
    <w:rsid w:val="00321502"/>
    <w:rsid w:val="00321AD4"/>
    <w:rsid w:val="00321F26"/>
    <w:rsid w:val="003225C7"/>
    <w:rsid w:val="00322773"/>
    <w:rsid w:val="00322789"/>
    <w:rsid w:val="00322BF2"/>
    <w:rsid w:val="00323104"/>
    <w:rsid w:val="00323B43"/>
    <w:rsid w:val="00323F93"/>
    <w:rsid w:val="00324662"/>
    <w:rsid w:val="00324A06"/>
    <w:rsid w:val="00324AF3"/>
    <w:rsid w:val="00325024"/>
    <w:rsid w:val="00325305"/>
    <w:rsid w:val="00325570"/>
    <w:rsid w:val="00325C81"/>
    <w:rsid w:val="00325FB9"/>
    <w:rsid w:val="00326154"/>
    <w:rsid w:val="00326160"/>
    <w:rsid w:val="00326186"/>
    <w:rsid w:val="003261D7"/>
    <w:rsid w:val="003263CD"/>
    <w:rsid w:val="00326B9E"/>
    <w:rsid w:val="00326C41"/>
    <w:rsid w:val="00326D47"/>
    <w:rsid w:val="00326DDB"/>
    <w:rsid w:val="003308CF"/>
    <w:rsid w:val="00330CD7"/>
    <w:rsid w:val="00330F57"/>
    <w:rsid w:val="0033112D"/>
    <w:rsid w:val="00331434"/>
    <w:rsid w:val="00331A51"/>
    <w:rsid w:val="00331AA7"/>
    <w:rsid w:val="00331F3C"/>
    <w:rsid w:val="00332056"/>
    <w:rsid w:val="00332D2F"/>
    <w:rsid w:val="00332D53"/>
    <w:rsid w:val="00332E2F"/>
    <w:rsid w:val="00332F45"/>
    <w:rsid w:val="003330C1"/>
    <w:rsid w:val="003335BB"/>
    <w:rsid w:val="0033378C"/>
    <w:rsid w:val="00333807"/>
    <w:rsid w:val="00333A6E"/>
    <w:rsid w:val="00333B3D"/>
    <w:rsid w:val="00333DA9"/>
    <w:rsid w:val="00333F07"/>
    <w:rsid w:val="00334013"/>
    <w:rsid w:val="0033404D"/>
    <w:rsid w:val="003340D5"/>
    <w:rsid w:val="00334A7B"/>
    <w:rsid w:val="00334BC5"/>
    <w:rsid w:val="00334E0D"/>
    <w:rsid w:val="003352D9"/>
    <w:rsid w:val="00335624"/>
    <w:rsid w:val="00335D54"/>
    <w:rsid w:val="00335D63"/>
    <w:rsid w:val="00335D66"/>
    <w:rsid w:val="0033617A"/>
    <w:rsid w:val="00336802"/>
    <w:rsid w:val="00336996"/>
    <w:rsid w:val="003369D2"/>
    <w:rsid w:val="00336C82"/>
    <w:rsid w:val="00336F2F"/>
    <w:rsid w:val="003373D0"/>
    <w:rsid w:val="003377D3"/>
    <w:rsid w:val="00337A4D"/>
    <w:rsid w:val="00337A55"/>
    <w:rsid w:val="0034011B"/>
    <w:rsid w:val="00340869"/>
    <w:rsid w:val="00340B73"/>
    <w:rsid w:val="00340BBE"/>
    <w:rsid w:val="00340BE1"/>
    <w:rsid w:val="00340D5D"/>
    <w:rsid w:val="00341396"/>
    <w:rsid w:val="003413F2"/>
    <w:rsid w:val="003414D1"/>
    <w:rsid w:val="00341689"/>
    <w:rsid w:val="00341BC6"/>
    <w:rsid w:val="00341ED1"/>
    <w:rsid w:val="00341ED7"/>
    <w:rsid w:val="003421EE"/>
    <w:rsid w:val="00342257"/>
    <w:rsid w:val="00342AF1"/>
    <w:rsid w:val="00342D2E"/>
    <w:rsid w:val="00342F71"/>
    <w:rsid w:val="003433D1"/>
    <w:rsid w:val="003436C5"/>
    <w:rsid w:val="00343AF2"/>
    <w:rsid w:val="00343BE2"/>
    <w:rsid w:val="00343DB9"/>
    <w:rsid w:val="00344318"/>
    <w:rsid w:val="00344627"/>
    <w:rsid w:val="00344647"/>
    <w:rsid w:val="0034476E"/>
    <w:rsid w:val="00344A7A"/>
    <w:rsid w:val="00344C91"/>
    <w:rsid w:val="00345335"/>
    <w:rsid w:val="003453CE"/>
    <w:rsid w:val="003454C1"/>
    <w:rsid w:val="00345617"/>
    <w:rsid w:val="00345A6C"/>
    <w:rsid w:val="00345BA0"/>
    <w:rsid w:val="003473A3"/>
    <w:rsid w:val="00347470"/>
    <w:rsid w:val="003474F2"/>
    <w:rsid w:val="0034764A"/>
    <w:rsid w:val="003476C4"/>
    <w:rsid w:val="00347879"/>
    <w:rsid w:val="003507D6"/>
    <w:rsid w:val="003507ED"/>
    <w:rsid w:val="00350C8C"/>
    <w:rsid w:val="003510F8"/>
    <w:rsid w:val="003512E1"/>
    <w:rsid w:val="00351699"/>
    <w:rsid w:val="0035170A"/>
    <w:rsid w:val="00352172"/>
    <w:rsid w:val="003523C6"/>
    <w:rsid w:val="0035288E"/>
    <w:rsid w:val="003528E8"/>
    <w:rsid w:val="00352DD3"/>
    <w:rsid w:val="00352F7F"/>
    <w:rsid w:val="00353373"/>
    <w:rsid w:val="003538F7"/>
    <w:rsid w:val="00353DAC"/>
    <w:rsid w:val="0035467B"/>
    <w:rsid w:val="003546B0"/>
    <w:rsid w:val="00354A83"/>
    <w:rsid w:val="00354D97"/>
    <w:rsid w:val="00354FEF"/>
    <w:rsid w:val="003557BE"/>
    <w:rsid w:val="003557CE"/>
    <w:rsid w:val="00356756"/>
    <w:rsid w:val="003568C6"/>
    <w:rsid w:val="003569FB"/>
    <w:rsid w:val="00356B99"/>
    <w:rsid w:val="00356DCA"/>
    <w:rsid w:val="00357A0A"/>
    <w:rsid w:val="00357B6B"/>
    <w:rsid w:val="00357FC6"/>
    <w:rsid w:val="0036005E"/>
    <w:rsid w:val="003603CF"/>
    <w:rsid w:val="00360709"/>
    <w:rsid w:val="00360968"/>
    <w:rsid w:val="00360AAE"/>
    <w:rsid w:val="00360B5F"/>
    <w:rsid w:val="00360D94"/>
    <w:rsid w:val="00360E2A"/>
    <w:rsid w:val="00360EB5"/>
    <w:rsid w:val="00361154"/>
    <w:rsid w:val="00361685"/>
    <w:rsid w:val="003619B6"/>
    <w:rsid w:val="00361F70"/>
    <w:rsid w:val="003622D9"/>
    <w:rsid w:val="003622EA"/>
    <w:rsid w:val="0036232A"/>
    <w:rsid w:val="00362568"/>
    <w:rsid w:val="00362AF4"/>
    <w:rsid w:val="00362AF6"/>
    <w:rsid w:val="00362C4B"/>
    <w:rsid w:val="00362C54"/>
    <w:rsid w:val="00362EC5"/>
    <w:rsid w:val="00363283"/>
    <w:rsid w:val="00363607"/>
    <w:rsid w:val="003637E8"/>
    <w:rsid w:val="0036392D"/>
    <w:rsid w:val="00363C3A"/>
    <w:rsid w:val="00363C73"/>
    <w:rsid w:val="00363D40"/>
    <w:rsid w:val="0036433C"/>
    <w:rsid w:val="00364486"/>
    <w:rsid w:val="003647F9"/>
    <w:rsid w:val="00364A78"/>
    <w:rsid w:val="00364DAE"/>
    <w:rsid w:val="00364ED2"/>
    <w:rsid w:val="003650D8"/>
    <w:rsid w:val="003655F7"/>
    <w:rsid w:val="003656B7"/>
    <w:rsid w:val="00365D4E"/>
    <w:rsid w:val="00365FE4"/>
    <w:rsid w:val="003660CA"/>
    <w:rsid w:val="00366E7C"/>
    <w:rsid w:val="00366F0E"/>
    <w:rsid w:val="00366F56"/>
    <w:rsid w:val="00367030"/>
    <w:rsid w:val="00367333"/>
    <w:rsid w:val="00367529"/>
    <w:rsid w:val="00367558"/>
    <w:rsid w:val="0036783A"/>
    <w:rsid w:val="00367964"/>
    <w:rsid w:val="003704AE"/>
    <w:rsid w:val="00370640"/>
    <w:rsid w:val="003709E7"/>
    <w:rsid w:val="00370CAE"/>
    <w:rsid w:val="00370CB3"/>
    <w:rsid w:val="00370D8C"/>
    <w:rsid w:val="00370DA5"/>
    <w:rsid w:val="00371472"/>
    <w:rsid w:val="00371A1D"/>
    <w:rsid w:val="00371AB4"/>
    <w:rsid w:val="00371BE9"/>
    <w:rsid w:val="00371E61"/>
    <w:rsid w:val="00371F6B"/>
    <w:rsid w:val="00372200"/>
    <w:rsid w:val="003725FD"/>
    <w:rsid w:val="00372CCF"/>
    <w:rsid w:val="003730BC"/>
    <w:rsid w:val="003732A6"/>
    <w:rsid w:val="0037331F"/>
    <w:rsid w:val="0037361A"/>
    <w:rsid w:val="00373BD9"/>
    <w:rsid w:val="00373F31"/>
    <w:rsid w:val="00374011"/>
    <w:rsid w:val="0037401D"/>
    <w:rsid w:val="003745D1"/>
    <w:rsid w:val="003747B4"/>
    <w:rsid w:val="00374B7E"/>
    <w:rsid w:val="00374CAB"/>
    <w:rsid w:val="00375532"/>
    <w:rsid w:val="00375560"/>
    <w:rsid w:val="003755E4"/>
    <w:rsid w:val="00375A6C"/>
    <w:rsid w:val="00375CD4"/>
    <w:rsid w:val="00375F4E"/>
    <w:rsid w:val="00375FA1"/>
    <w:rsid w:val="00376220"/>
    <w:rsid w:val="00376DB5"/>
    <w:rsid w:val="00376E36"/>
    <w:rsid w:val="00376EA7"/>
    <w:rsid w:val="0037746D"/>
    <w:rsid w:val="0037775A"/>
    <w:rsid w:val="00377848"/>
    <w:rsid w:val="00377D70"/>
    <w:rsid w:val="00380185"/>
    <w:rsid w:val="0038055C"/>
    <w:rsid w:val="0038113D"/>
    <w:rsid w:val="003814A8"/>
    <w:rsid w:val="00381737"/>
    <w:rsid w:val="00381817"/>
    <w:rsid w:val="00381836"/>
    <w:rsid w:val="00381C8A"/>
    <w:rsid w:val="00381E88"/>
    <w:rsid w:val="0038215B"/>
    <w:rsid w:val="00382703"/>
    <w:rsid w:val="00382EA3"/>
    <w:rsid w:val="003838B7"/>
    <w:rsid w:val="00383AAA"/>
    <w:rsid w:val="00383B4C"/>
    <w:rsid w:val="00384213"/>
    <w:rsid w:val="00384295"/>
    <w:rsid w:val="00384BD9"/>
    <w:rsid w:val="00384C0C"/>
    <w:rsid w:val="00384CCD"/>
    <w:rsid w:val="00384D77"/>
    <w:rsid w:val="00384FDE"/>
    <w:rsid w:val="003850D9"/>
    <w:rsid w:val="0038510C"/>
    <w:rsid w:val="003852D0"/>
    <w:rsid w:val="0038545B"/>
    <w:rsid w:val="003855CD"/>
    <w:rsid w:val="003855EB"/>
    <w:rsid w:val="003857D0"/>
    <w:rsid w:val="00386BBC"/>
    <w:rsid w:val="0038744D"/>
    <w:rsid w:val="00387981"/>
    <w:rsid w:val="00387EAA"/>
    <w:rsid w:val="00387EDF"/>
    <w:rsid w:val="003900F4"/>
    <w:rsid w:val="00390BD2"/>
    <w:rsid w:val="00391291"/>
    <w:rsid w:val="003918C8"/>
    <w:rsid w:val="00391911"/>
    <w:rsid w:val="00391A3B"/>
    <w:rsid w:val="00391C1F"/>
    <w:rsid w:val="00391E84"/>
    <w:rsid w:val="00392637"/>
    <w:rsid w:val="00393671"/>
    <w:rsid w:val="00393881"/>
    <w:rsid w:val="00394305"/>
    <w:rsid w:val="00394818"/>
    <w:rsid w:val="00394A13"/>
    <w:rsid w:val="00394C9A"/>
    <w:rsid w:val="003956EB"/>
    <w:rsid w:val="00395A0E"/>
    <w:rsid w:val="00395A3F"/>
    <w:rsid w:val="00395AAC"/>
    <w:rsid w:val="00395C5A"/>
    <w:rsid w:val="00395C8A"/>
    <w:rsid w:val="00396609"/>
    <w:rsid w:val="00396A6E"/>
    <w:rsid w:val="00396C16"/>
    <w:rsid w:val="003A005E"/>
    <w:rsid w:val="003A0330"/>
    <w:rsid w:val="003A08CC"/>
    <w:rsid w:val="003A0BE7"/>
    <w:rsid w:val="003A0C22"/>
    <w:rsid w:val="003A0FC8"/>
    <w:rsid w:val="003A1524"/>
    <w:rsid w:val="003A1629"/>
    <w:rsid w:val="003A1BC2"/>
    <w:rsid w:val="003A1D68"/>
    <w:rsid w:val="003A2111"/>
    <w:rsid w:val="003A2152"/>
    <w:rsid w:val="003A2386"/>
    <w:rsid w:val="003A2A21"/>
    <w:rsid w:val="003A2D10"/>
    <w:rsid w:val="003A2DC7"/>
    <w:rsid w:val="003A4022"/>
    <w:rsid w:val="003A4BB8"/>
    <w:rsid w:val="003A549F"/>
    <w:rsid w:val="003A552C"/>
    <w:rsid w:val="003A57A0"/>
    <w:rsid w:val="003A5A56"/>
    <w:rsid w:val="003A5CCD"/>
    <w:rsid w:val="003A5ED8"/>
    <w:rsid w:val="003A5F7F"/>
    <w:rsid w:val="003A6105"/>
    <w:rsid w:val="003A63F7"/>
    <w:rsid w:val="003A65E0"/>
    <w:rsid w:val="003A6B22"/>
    <w:rsid w:val="003A712D"/>
    <w:rsid w:val="003A716B"/>
    <w:rsid w:val="003A7791"/>
    <w:rsid w:val="003A7E93"/>
    <w:rsid w:val="003A7F2A"/>
    <w:rsid w:val="003A7F7D"/>
    <w:rsid w:val="003B0100"/>
    <w:rsid w:val="003B0376"/>
    <w:rsid w:val="003B0430"/>
    <w:rsid w:val="003B0527"/>
    <w:rsid w:val="003B0A74"/>
    <w:rsid w:val="003B0D44"/>
    <w:rsid w:val="003B0F2E"/>
    <w:rsid w:val="003B10DD"/>
    <w:rsid w:val="003B13C2"/>
    <w:rsid w:val="003B1A4F"/>
    <w:rsid w:val="003B1C65"/>
    <w:rsid w:val="003B2263"/>
    <w:rsid w:val="003B263D"/>
    <w:rsid w:val="003B2841"/>
    <w:rsid w:val="003B33A8"/>
    <w:rsid w:val="003B3810"/>
    <w:rsid w:val="003B394A"/>
    <w:rsid w:val="003B3A2C"/>
    <w:rsid w:val="003B3D0C"/>
    <w:rsid w:val="003B3E31"/>
    <w:rsid w:val="003B4175"/>
    <w:rsid w:val="003B41C1"/>
    <w:rsid w:val="003B4205"/>
    <w:rsid w:val="003B4251"/>
    <w:rsid w:val="003B42C4"/>
    <w:rsid w:val="003B42F6"/>
    <w:rsid w:val="003B4478"/>
    <w:rsid w:val="003B483E"/>
    <w:rsid w:val="003B497D"/>
    <w:rsid w:val="003B49FB"/>
    <w:rsid w:val="003B4AC4"/>
    <w:rsid w:val="003B4C09"/>
    <w:rsid w:val="003B56C2"/>
    <w:rsid w:val="003B5790"/>
    <w:rsid w:val="003B5B39"/>
    <w:rsid w:val="003B5B56"/>
    <w:rsid w:val="003B5F8C"/>
    <w:rsid w:val="003B6219"/>
    <w:rsid w:val="003B625B"/>
    <w:rsid w:val="003B6658"/>
    <w:rsid w:val="003B669D"/>
    <w:rsid w:val="003B66F1"/>
    <w:rsid w:val="003B6A03"/>
    <w:rsid w:val="003B6EED"/>
    <w:rsid w:val="003B7215"/>
    <w:rsid w:val="003B7238"/>
    <w:rsid w:val="003B7301"/>
    <w:rsid w:val="003B7604"/>
    <w:rsid w:val="003B7B68"/>
    <w:rsid w:val="003C0611"/>
    <w:rsid w:val="003C07BA"/>
    <w:rsid w:val="003C0809"/>
    <w:rsid w:val="003C08FC"/>
    <w:rsid w:val="003C1441"/>
    <w:rsid w:val="003C150D"/>
    <w:rsid w:val="003C1994"/>
    <w:rsid w:val="003C1AAF"/>
    <w:rsid w:val="003C1ECE"/>
    <w:rsid w:val="003C2045"/>
    <w:rsid w:val="003C2366"/>
    <w:rsid w:val="003C296D"/>
    <w:rsid w:val="003C2C5B"/>
    <w:rsid w:val="003C2D6B"/>
    <w:rsid w:val="003C2E35"/>
    <w:rsid w:val="003C31A5"/>
    <w:rsid w:val="003C31B9"/>
    <w:rsid w:val="003C32A1"/>
    <w:rsid w:val="003C3333"/>
    <w:rsid w:val="003C3992"/>
    <w:rsid w:val="003C3C68"/>
    <w:rsid w:val="003C3E66"/>
    <w:rsid w:val="003C4097"/>
    <w:rsid w:val="003C454D"/>
    <w:rsid w:val="003C4B63"/>
    <w:rsid w:val="003C4B99"/>
    <w:rsid w:val="003C4FFC"/>
    <w:rsid w:val="003C50ED"/>
    <w:rsid w:val="003C51E8"/>
    <w:rsid w:val="003C56E1"/>
    <w:rsid w:val="003C5B89"/>
    <w:rsid w:val="003C6590"/>
    <w:rsid w:val="003C667A"/>
    <w:rsid w:val="003C66E3"/>
    <w:rsid w:val="003C66E7"/>
    <w:rsid w:val="003C6936"/>
    <w:rsid w:val="003C6C81"/>
    <w:rsid w:val="003C6EE3"/>
    <w:rsid w:val="003C7080"/>
    <w:rsid w:val="003C736D"/>
    <w:rsid w:val="003C7C10"/>
    <w:rsid w:val="003C7E5F"/>
    <w:rsid w:val="003D039D"/>
    <w:rsid w:val="003D03FC"/>
    <w:rsid w:val="003D046A"/>
    <w:rsid w:val="003D0496"/>
    <w:rsid w:val="003D0615"/>
    <w:rsid w:val="003D08DE"/>
    <w:rsid w:val="003D0965"/>
    <w:rsid w:val="003D09A0"/>
    <w:rsid w:val="003D0A9C"/>
    <w:rsid w:val="003D0C90"/>
    <w:rsid w:val="003D0C9F"/>
    <w:rsid w:val="003D0DDA"/>
    <w:rsid w:val="003D0FEC"/>
    <w:rsid w:val="003D1346"/>
    <w:rsid w:val="003D13E0"/>
    <w:rsid w:val="003D1BA2"/>
    <w:rsid w:val="003D2268"/>
    <w:rsid w:val="003D23A4"/>
    <w:rsid w:val="003D25CC"/>
    <w:rsid w:val="003D2A03"/>
    <w:rsid w:val="003D2ACB"/>
    <w:rsid w:val="003D365C"/>
    <w:rsid w:val="003D3C44"/>
    <w:rsid w:val="003D3FC4"/>
    <w:rsid w:val="003D4051"/>
    <w:rsid w:val="003D4201"/>
    <w:rsid w:val="003D4376"/>
    <w:rsid w:val="003D4567"/>
    <w:rsid w:val="003D4E64"/>
    <w:rsid w:val="003D559E"/>
    <w:rsid w:val="003D5FC3"/>
    <w:rsid w:val="003D604A"/>
    <w:rsid w:val="003D620C"/>
    <w:rsid w:val="003D66A2"/>
    <w:rsid w:val="003D66D2"/>
    <w:rsid w:val="003D698C"/>
    <w:rsid w:val="003D6C93"/>
    <w:rsid w:val="003D727E"/>
    <w:rsid w:val="003D791C"/>
    <w:rsid w:val="003D7A3E"/>
    <w:rsid w:val="003D7C69"/>
    <w:rsid w:val="003D7D7E"/>
    <w:rsid w:val="003D7E8B"/>
    <w:rsid w:val="003E07BE"/>
    <w:rsid w:val="003E08B7"/>
    <w:rsid w:val="003E094B"/>
    <w:rsid w:val="003E0AE8"/>
    <w:rsid w:val="003E0B63"/>
    <w:rsid w:val="003E0CEF"/>
    <w:rsid w:val="003E155E"/>
    <w:rsid w:val="003E172E"/>
    <w:rsid w:val="003E1C66"/>
    <w:rsid w:val="003E1F47"/>
    <w:rsid w:val="003E2A45"/>
    <w:rsid w:val="003E2C41"/>
    <w:rsid w:val="003E3016"/>
    <w:rsid w:val="003E3460"/>
    <w:rsid w:val="003E35A3"/>
    <w:rsid w:val="003E3A02"/>
    <w:rsid w:val="003E3D2F"/>
    <w:rsid w:val="003E42A5"/>
    <w:rsid w:val="003E443E"/>
    <w:rsid w:val="003E5359"/>
    <w:rsid w:val="003E535B"/>
    <w:rsid w:val="003E544C"/>
    <w:rsid w:val="003E5783"/>
    <w:rsid w:val="003E580E"/>
    <w:rsid w:val="003E5857"/>
    <w:rsid w:val="003E5D3B"/>
    <w:rsid w:val="003E663C"/>
    <w:rsid w:val="003E6AF8"/>
    <w:rsid w:val="003E6FDC"/>
    <w:rsid w:val="003E7408"/>
    <w:rsid w:val="003E7497"/>
    <w:rsid w:val="003E75C3"/>
    <w:rsid w:val="003E7900"/>
    <w:rsid w:val="003E7C69"/>
    <w:rsid w:val="003F0020"/>
    <w:rsid w:val="003F07EE"/>
    <w:rsid w:val="003F0994"/>
    <w:rsid w:val="003F1672"/>
    <w:rsid w:val="003F1B4A"/>
    <w:rsid w:val="003F1DA9"/>
    <w:rsid w:val="003F1DAD"/>
    <w:rsid w:val="003F20CB"/>
    <w:rsid w:val="003F2431"/>
    <w:rsid w:val="003F24C0"/>
    <w:rsid w:val="003F28CE"/>
    <w:rsid w:val="003F2B10"/>
    <w:rsid w:val="003F2E41"/>
    <w:rsid w:val="003F2F44"/>
    <w:rsid w:val="003F3370"/>
    <w:rsid w:val="003F37B1"/>
    <w:rsid w:val="003F37C6"/>
    <w:rsid w:val="003F37E7"/>
    <w:rsid w:val="003F39C0"/>
    <w:rsid w:val="003F3E06"/>
    <w:rsid w:val="003F3E8D"/>
    <w:rsid w:val="003F45CA"/>
    <w:rsid w:val="003F4790"/>
    <w:rsid w:val="003F49D8"/>
    <w:rsid w:val="003F4CE3"/>
    <w:rsid w:val="003F4EEE"/>
    <w:rsid w:val="003F5150"/>
    <w:rsid w:val="003F51F4"/>
    <w:rsid w:val="003F5853"/>
    <w:rsid w:val="003F5974"/>
    <w:rsid w:val="003F5AC7"/>
    <w:rsid w:val="003F5C32"/>
    <w:rsid w:val="003F5C55"/>
    <w:rsid w:val="003F5F0D"/>
    <w:rsid w:val="003F6345"/>
    <w:rsid w:val="003F69BF"/>
    <w:rsid w:val="003F7174"/>
    <w:rsid w:val="003F73BD"/>
    <w:rsid w:val="003F774D"/>
    <w:rsid w:val="003F77FC"/>
    <w:rsid w:val="003F784C"/>
    <w:rsid w:val="003F787B"/>
    <w:rsid w:val="003F7B97"/>
    <w:rsid w:val="003F7CF6"/>
    <w:rsid w:val="004017CA"/>
    <w:rsid w:val="00401E38"/>
    <w:rsid w:val="00401F39"/>
    <w:rsid w:val="0040280A"/>
    <w:rsid w:val="00402824"/>
    <w:rsid w:val="00402E60"/>
    <w:rsid w:val="004036AD"/>
    <w:rsid w:val="00403AEA"/>
    <w:rsid w:val="00403D2A"/>
    <w:rsid w:val="00403F40"/>
    <w:rsid w:val="00403F59"/>
    <w:rsid w:val="004040D3"/>
    <w:rsid w:val="00404989"/>
    <w:rsid w:val="00404E4E"/>
    <w:rsid w:val="00404ED6"/>
    <w:rsid w:val="004051B9"/>
    <w:rsid w:val="004053DD"/>
    <w:rsid w:val="00405425"/>
    <w:rsid w:val="00405AAB"/>
    <w:rsid w:val="00405C5B"/>
    <w:rsid w:val="00406004"/>
    <w:rsid w:val="00406908"/>
    <w:rsid w:val="00406C15"/>
    <w:rsid w:val="00406CD9"/>
    <w:rsid w:val="00406CFE"/>
    <w:rsid w:val="0040754E"/>
    <w:rsid w:val="004075F4"/>
    <w:rsid w:val="00407A3D"/>
    <w:rsid w:val="00407D1D"/>
    <w:rsid w:val="00407D33"/>
    <w:rsid w:val="00407DE7"/>
    <w:rsid w:val="004100DF"/>
    <w:rsid w:val="00410478"/>
    <w:rsid w:val="00410A21"/>
    <w:rsid w:val="00410A3B"/>
    <w:rsid w:val="0041115A"/>
    <w:rsid w:val="00411562"/>
    <w:rsid w:val="0041170B"/>
    <w:rsid w:val="00411D02"/>
    <w:rsid w:val="0041249E"/>
    <w:rsid w:val="00412680"/>
    <w:rsid w:val="00412C00"/>
    <w:rsid w:val="00412D74"/>
    <w:rsid w:val="00412EAE"/>
    <w:rsid w:val="00412ECF"/>
    <w:rsid w:val="00413310"/>
    <w:rsid w:val="004136CB"/>
    <w:rsid w:val="0041399D"/>
    <w:rsid w:val="004139B4"/>
    <w:rsid w:val="00413A07"/>
    <w:rsid w:val="00413E3F"/>
    <w:rsid w:val="00413E7C"/>
    <w:rsid w:val="00414090"/>
    <w:rsid w:val="00414C3B"/>
    <w:rsid w:val="00414F2F"/>
    <w:rsid w:val="00415277"/>
    <w:rsid w:val="00415562"/>
    <w:rsid w:val="00415D0F"/>
    <w:rsid w:val="00416815"/>
    <w:rsid w:val="00416A37"/>
    <w:rsid w:val="00416CE8"/>
    <w:rsid w:val="00416D02"/>
    <w:rsid w:val="00416DE7"/>
    <w:rsid w:val="00416F43"/>
    <w:rsid w:val="00417132"/>
    <w:rsid w:val="00417514"/>
    <w:rsid w:val="0041783D"/>
    <w:rsid w:val="004178AF"/>
    <w:rsid w:val="00417EA3"/>
    <w:rsid w:val="004202FB"/>
    <w:rsid w:val="004209A5"/>
    <w:rsid w:val="00420A8E"/>
    <w:rsid w:val="00420CAA"/>
    <w:rsid w:val="00421277"/>
    <w:rsid w:val="004212E0"/>
    <w:rsid w:val="00421A14"/>
    <w:rsid w:val="00422325"/>
    <w:rsid w:val="0042236C"/>
    <w:rsid w:val="004223AC"/>
    <w:rsid w:val="00422AB9"/>
    <w:rsid w:val="00422E1D"/>
    <w:rsid w:val="00422FB8"/>
    <w:rsid w:val="0042386B"/>
    <w:rsid w:val="00423AC7"/>
    <w:rsid w:val="0042428D"/>
    <w:rsid w:val="00424326"/>
    <w:rsid w:val="00424426"/>
    <w:rsid w:val="00424BBE"/>
    <w:rsid w:val="00424C4C"/>
    <w:rsid w:val="00424ED2"/>
    <w:rsid w:val="00425165"/>
    <w:rsid w:val="0042549F"/>
    <w:rsid w:val="00425649"/>
    <w:rsid w:val="0042565B"/>
    <w:rsid w:val="004256B5"/>
    <w:rsid w:val="004257CE"/>
    <w:rsid w:val="004259E3"/>
    <w:rsid w:val="00425A43"/>
    <w:rsid w:val="00425CE6"/>
    <w:rsid w:val="004265D1"/>
    <w:rsid w:val="004265FD"/>
    <w:rsid w:val="004266C1"/>
    <w:rsid w:val="004269FE"/>
    <w:rsid w:val="00426DB9"/>
    <w:rsid w:val="004271E6"/>
    <w:rsid w:val="00427729"/>
    <w:rsid w:val="004278BE"/>
    <w:rsid w:val="00427D29"/>
    <w:rsid w:val="00427FE5"/>
    <w:rsid w:val="00430167"/>
    <w:rsid w:val="004307C1"/>
    <w:rsid w:val="00430E78"/>
    <w:rsid w:val="00430FBB"/>
    <w:rsid w:val="004315A7"/>
    <w:rsid w:val="00432105"/>
    <w:rsid w:val="004321B0"/>
    <w:rsid w:val="00432739"/>
    <w:rsid w:val="004328B8"/>
    <w:rsid w:val="00432D13"/>
    <w:rsid w:val="00432D84"/>
    <w:rsid w:val="00432E0C"/>
    <w:rsid w:val="00432E84"/>
    <w:rsid w:val="00432F4C"/>
    <w:rsid w:val="0043317F"/>
    <w:rsid w:val="00433476"/>
    <w:rsid w:val="00433550"/>
    <w:rsid w:val="004337AE"/>
    <w:rsid w:val="00433AC8"/>
    <w:rsid w:val="00433C6D"/>
    <w:rsid w:val="00433F51"/>
    <w:rsid w:val="00434356"/>
    <w:rsid w:val="00434D69"/>
    <w:rsid w:val="004358D3"/>
    <w:rsid w:val="004359AE"/>
    <w:rsid w:val="0043625B"/>
    <w:rsid w:val="0043671B"/>
    <w:rsid w:val="00436E48"/>
    <w:rsid w:val="00436F5D"/>
    <w:rsid w:val="00437155"/>
    <w:rsid w:val="0043785E"/>
    <w:rsid w:val="00437AE4"/>
    <w:rsid w:val="00437B6E"/>
    <w:rsid w:val="00437BAA"/>
    <w:rsid w:val="00437C14"/>
    <w:rsid w:val="0044021D"/>
    <w:rsid w:val="00440450"/>
    <w:rsid w:val="00440C4E"/>
    <w:rsid w:val="0044128B"/>
    <w:rsid w:val="004413C3"/>
    <w:rsid w:val="00441697"/>
    <w:rsid w:val="004420F3"/>
    <w:rsid w:val="004426B4"/>
    <w:rsid w:val="00442C51"/>
    <w:rsid w:val="00443691"/>
    <w:rsid w:val="00443BF2"/>
    <w:rsid w:val="00443CFB"/>
    <w:rsid w:val="00443EB8"/>
    <w:rsid w:val="00443F7E"/>
    <w:rsid w:val="004440FF"/>
    <w:rsid w:val="0044470B"/>
    <w:rsid w:val="00444B15"/>
    <w:rsid w:val="00445AA1"/>
    <w:rsid w:val="00445F9F"/>
    <w:rsid w:val="00446057"/>
    <w:rsid w:val="0044624B"/>
    <w:rsid w:val="004469F1"/>
    <w:rsid w:val="00446AEB"/>
    <w:rsid w:val="00446C49"/>
    <w:rsid w:val="00446CC8"/>
    <w:rsid w:val="00446E2F"/>
    <w:rsid w:val="004470B7"/>
    <w:rsid w:val="004471A2"/>
    <w:rsid w:val="00447795"/>
    <w:rsid w:val="004478E9"/>
    <w:rsid w:val="00447D02"/>
    <w:rsid w:val="00447DE1"/>
    <w:rsid w:val="00447ECB"/>
    <w:rsid w:val="00450197"/>
    <w:rsid w:val="0045020F"/>
    <w:rsid w:val="0045021C"/>
    <w:rsid w:val="004505F8"/>
    <w:rsid w:val="00450974"/>
    <w:rsid w:val="00450AAB"/>
    <w:rsid w:val="00451288"/>
    <w:rsid w:val="004513B7"/>
    <w:rsid w:val="00451571"/>
    <w:rsid w:val="0045178D"/>
    <w:rsid w:val="004517F3"/>
    <w:rsid w:val="00451B42"/>
    <w:rsid w:val="00451BA1"/>
    <w:rsid w:val="00451BC4"/>
    <w:rsid w:val="00451CF5"/>
    <w:rsid w:val="00451E9B"/>
    <w:rsid w:val="004520AE"/>
    <w:rsid w:val="00452329"/>
    <w:rsid w:val="004524E3"/>
    <w:rsid w:val="0045281A"/>
    <w:rsid w:val="00452978"/>
    <w:rsid w:val="00452EF2"/>
    <w:rsid w:val="00452EF6"/>
    <w:rsid w:val="00453946"/>
    <w:rsid w:val="00453967"/>
    <w:rsid w:val="00454124"/>
    <w:rsid w:val="00454295"/>
    <w:rsid w:val="004543A0"/>
    <w:rsid w:val="004546D6"/>
    <w:rsid w:val="00454A90"/>
    <w:rsid w:val="00454FFB"/>
    <w:rsid w:val="004550DF"/>
    <w:rsid w:val="00455334"/>
    <w:rsid w:val="00456081"/>
    <w:rsid w:val="00456252"/>
    <w:rsid w:val="0045634E"/>
    <w:rsid w:val="00456BEC"/>
    <w:rsid w:val="00457B34"/>
    <w:rsid w:val="00457B60"/>
    <w:rsid w:val="0046033E"/>
    <w:rsid w:val="00460CBE"/>
    <w:rsid w:val="00461426"/>
    <w:rsid w:val="0046183D"/>
    <w:rsid w:val="00461FC6"/>
    <w:rsid w:val="004628BC"/>
    <w:rsid w:val="00462F11"/>
    <w:rsid w:val="00462FE8"/>
    <w:rsid w:val="00463222"/>
    <w:rsid w:val="00463242"/>
    <w:rsid w:val="0046325C"/>
    <w:rsid w:val="004635D1"/>
    <w:rsid w:val="004635EC"/>
    <w:rsid w:val="004638F5"/>
    <w:rsid w:val="0046391E"/>
    <w:rsid w:val="00463B43"/>
    <w:rsid w:val="00463D80"/>
    <w:rsid w:val="004640B3"/>
    <w:rsid w:val="00464483"/>
    <w:rsid w:val="004644BB"/>
    <w:rsid w:val="0046479C"/>
    <w:rsid w:val="004647A1"/>
    <w:rsid w:val="0046499F"/>
    <w:rsid w:val="004649EE"/>
    <w:rsid w:val="00464B33"/>
    <w:rsid w:val="00464E78"/>
    <w:rsid w:val="004651C1"/>
    <w:rsid w:val="00465447"/>
    <w:rsid w:val="0046544F"/>
    <w:rsid w:val="004654A0"/>
    <w:rsid w:val="00465808"/>
    <w:rsid w:val="00465966"/>
    <w:rsid w:val="0046618F"/>
    <w:rsid w:val="004665FE"/>
    <w:rsid w:val="00466950"/>
    <w:rsid w:val="00466980"/>
    <w:rsid w:val="00466A86"/>
    <w:rsid w:val="00466B7A"/>
    <w:rsid w:val="00466F53"/>
    <w:rsid w:val="004672F7"/>
    <w:rsid w:val="004676AC"/>
    <w:rsid w:val="004676E9"/>
    <w:rsid w:val="00467962"/>
    <w:rsid w:val="00467B60"/>
    <w:rsid w:val="00467BD3"/>
    <w:rsid w:val="00470487"/>
    <w:rsid w:val="004706E1"/>
    <w:rsid w:val="004707E0"/>
    <w:rsid w:val="00470888"/>
    <w:rsid w:val="00470D67"/>
    <w:rsid w:val="00470DCF"/>
    <w:rsid w:val="00471061"/>
    <w:rsid w:val="0047119C"/>
    <w:rsid w:val="00471776"/>
    <w:rsid w:val="00471901"/>
    <w:rsid w:val="004719D1"/>
    <w:rsid w:val="00471CFC"/>
    <w:rsid w:val="004722B5"/>
    <w:rsid w:val="004722C0"/>
    <w:rsid w:val="00472318"/>
    <w:rsid w:val="00472547"/>
    <w:rsid w:val="00472699"/>
    <w:rsid w:val="00472886"/>
    <w:rsid w:val="00472BF6"/>
    <w:rsid w:val="00472E47"/>
    <w:rsid w:val="00472FDB"/>
    <w:rsid w:val="00473028"/>
    <w:rsid w:val="0047337C"/>
    <w:rsid w:val="004733FA"/>
    <w:rsid w:val="004737F6"/>
    <w:rsid w:val="004739B9"/>
    <w:rsid w:val="00474143"/>
    <w:rsid w:val="00474162"/>
    <w:rsid w:val="004746D7"/>
    <w:rsid w:val="0047479F"/>
    <w:rsid w:val="00474EEF"/>
    <w:rsid w:val="00474F99"/>
    <w:rsid w:val="004752F4"/>
    <w:rsid w:val="0047550D"/>
    <w:rsid w:val="00475763"/>
    <w:rsid w:val="00475849"/>
    <w:rsid w:val="00475AE4"/>
    <w:rsid w:val="00475B89"/>
    <w:rsid w:val="00475CEE"/>
    <w:rsid w:val="00475FAB"/>
    <w:rsid w:val="0047675C"/>
    <w:rsid w:val="00476891"/>
    <w:rsid w:val="00476A0F"/>
    <w:rsid w:val="00476CA5"/>
    <w:rsid w:val="00476DAF"/>
    <w:rsid w:val="004776F6"/>
    <w:rsid w:val="00477905"/>
    <w:rsid w:val="00477CE9"/>
    <w:rsid w:val="00477EC8"/>
    <w:rsid w:val="00477FF6"/>
    <w:rsid w:val="00480183"/>
    <w:rsid w:val="0048020B"/>
    <w:rsid w:val="00480602"/>
    <w:rsid w:val="004806F3"/>
    <w:rsid w:val="00480BFF"/>
    <w:rsid w:val="00480CF5"/>
    <w:rsid w:val="00480DCC"/>
    <w:rsid w:val="004819A6"/>
    <w:rsid w:val="00481EDB"/>
    <w:rsid w:val="00482172"/>
    <w:rsid w:val="00482264"/>
    <w:rsid w:val="00482636"/>
    <w:rsid w:val="00482B44"/>
    <w:rsid w:val="00482B5F"/>
    <w:rsid w:val="00482C9F"/>
    <w:rsid w:val="00483128"/>
    <w:rsid w:val="00483B86"/>
    <w:rsid w:val="00483E0E"/>
    <w:rsid w:val="00484296"/>
    <w:rsid w:val="004845D2"/>
    <w:rsid w:val="004845DC"/>
    <w:rsid w:val="00484D6D"/>
    <w:rsid w:val="00484DC7"/>
    <w:rsid w:val="00485001"/>
    <w:rsid w:val="004850DF"/>
    <w:rsid w:val="004851DD"/>
    <w:rsid w:val="004852B4"/>
    <w:rsid w:val="0048570B"/>
    <w:rsid w:val="004857F0"/>
    <w:rsid w:val="00485CCB"/>
    <w:rsid w:val="0048636C"/>
    <w:rsid w:val="004864F5"/>
    <w:rsid w:val="00486525"/>
    <w:rsid w:val="004866A7"/>
    <w:rsid w:val="00486845"/>
    <w:rsid w:val="00486D8B"/>
    <w:rsid w:val="0048716F"/>
    <w:rsid w:val="004871E0"/>
    <w:rsid w:val="004875B6"/>
    <w:rsid w:val="0048790B"/>
    <w:rsid w:val="00487C3D"/>
    <w:rsid w:val="00487CF5"/>
    <w:rsid w:val="0049001B"/>
    <w:rsid w:val="0049030F"/>
    <w:rsid w:val="00490403"/>
    <w:rsid w:val="004905D4"/>
    <w:rsid w:val="00490620"/>
    <w:rsid w:val="00490726"/>
    <w:rsid w:val="00490C98"/>
    <w:rsid w:val="00490E14"/>
    <w:rsid w:val="004914A1"/>
    <w:rsid w:val="0049165E"/>
    <w:rsid w:val="00491A2B"/>
    <w:rsid w:val="00491E10"/>
    <w:rsid w:val="00492037"/>
    <w:rsid w:val="004925C8"/>
    <w:rsid w:val="00492888"/>
    <w:rsid w:val="004929F2"/>
    <w:rsid w:val="00492CD2"/>
    <w:rsid w:val="00492DB5"/>
    <w:rsid w:val="00492EFD"/>
    <w:rsid w:val="00493037"/>
    <w:rsid w:val="00493131"/>
    <w:rsid w:val="0049321F"/>
    <w:rsid w:val="00493356"/>
    <w:rsid w:val="00493614"/>
    <w:rsid w:val="00494093"/>
    <w:rsid w:val="00494425"/>
    <w:rsid w:val="0049459D"/>
    <w:rsid w:val="00494FEB"/>
    <w:rsid w:val="004956D9"/>
    <w:rsid w:val="004957DA"/>
    <w:rsid w:val="00495AD9"/>
    <w:rsid w:val="00495BA1"/>
    <w:rsid w:val="00495D5C"/>
    <w:rsid w:val="004964CD"/>
    <w:rsid w:val="0049654F"/>
    <w:rsid w:val="004968E8"/>
    <w:rsid w:val="00496FF5"/>
    <w:rsid w:val="00497140"/>
    <w:rsid w:val="004977E8"/>
    <w:rsid w:val="0049781A"/>
    <w:rsid w:val="00497AFB"/>
    <w:rsid w:val="00497B48"/>
    <w:rsid w:val="00497B4B"/>
    <w:rsid w:val="00497CDF"/>
    <w:rsid w:val="00497EA4"/>
    <w:rsid w:val="004A0034"/>
    <w:rsid w:val="004A01D5"/>
    <w:rsid w:val="004A03E5"/>
    <w:rsid w:val="004A04CE"/>
    <w:rsid w:val="004A06B8"/>
    <w:rsid w:val="004A10D2"/>
    <w:rsid w:val="004A1180"/>
    <w:rsid w:val="004A169A"/>
    <w:rsid w:val="004A19CF"/>
    <w:rsid w:val="004A2100"/>
    <w:rsid w:val="004A248E"/>
    <w:rsid w:val="004A291F"/>
    <w:rsid w:val="004A2BB0"/>
    <w:rsid w:val="004A310E"/>
    <w:rsid w:val="004A34EE"/>
    <w:rsid w:val="004A3942"/>
    <w:rsid w:val="004A3B04"/>
    <w:rsid w:val="004A4654"/>
    <w:rsid w:val="004A474A"/>
    <w:rsid w:val="004A4846"/>
    <w:rsid w:val="004A53D0"/>
    <w:rsid w:val="004A58D8"/>
    <w:rsid w:val="004A58EE"/>
    <w:rsid w:val="004A5997"/>
    <w:rsid w:val="004A59E2"/>
    <w:rsid w:val="004A5BA0"/>
    <w:rsid w:val="004A5D1A"/>
    <w:rsid w:val="004A5D35"/>
    <w:rsid w:val="004A6186"/>
    <w:rsid w:val="004A63F7"/>
    <w:rsid w:val="004A66F1"/>
    <w:rsid w:val="004A68CB"/>
    <w:rsid w:val="004A6A79"/>
    <w:rsid w:val="004A6A8A"/>
    <w:rsid w:val="004A6C6A"/>
    <w:rsid w:val="004A6E17"/>
    <w:rsid w:val="004A7C80"/>
    <w:rsid w:val="004A7E07"/>
    <w:rsid w:val="004A7F09"/>
    <w:rsid w:val="004B0183"/>
    <w:rsid w:val="004B0574"/>
    <w:rsid w:val="004B094D"/>
    <w:rsid w:val="004B0A26"/>
    <w:rsid w:val="004B0B26"/>
    <w:rsid w:val="004B0E73"/>
    <w:rsid w:val="004B177F"/>
    <w:rsid w:val="004B207E"/>
    <w:rsid w:val="004B2423"/>
    <w:rsid w:val="004B27FF"/>
    <w:rsid w:val="004B3069"/>
    <w:rsid w:val="004B3187"/>
    <w:rsid w:val="004B33A7"/>
    <w:rsid w:val="004B3CBC"/>
    <w:rsid w:val="004B3EF1"/>
    <w:rsid w:val="004B405F"/>
    <w:rsid w:val="004B48DD"/>
    <w:rsid w:val="004B5692"/>
    <w:rsid w:val="004B56E2"/>
    <w:rsid w:val="004B5982"/>
    <w:rsid w:val="004B6293"/>
    <w:rsid w:val="004B6567"/>
    <w:rsid w:val="004B6966"/>
    <w:rsid w:val="004B7319"/>
    <w:rsid w:val="004B7434"/>
    <w:rsid w:val="004B753C"/>
    <w:rsid w:val="004B7968"/>
    <w:rsid w:val="004B797E"/>
    <w:rsid w:val="004B79B0"/>
    <w:rsid w:val="004C02A9"/>
    <w:rsid w:val="004C03FE"/>
    <w:rsid w:val="004C0741"/>
    <w:rsid w:val="004C097E"/>
    <w:rsid w:val="004C0D03"/>
    <w:rsid w:val="004C12A3"/>
    <w:rsid w:val="004C1401"/>
    <w:rsid w:val="004C143E"/>
    <w:rsid w:val="004C15F4"/>
    <w:rsid w:val="004C19BD"/>
    <w:rsid w:val="004C1A87"/>
    <w:rsid w:val="004C2404"/>
    <w:rsid w:val="004C26DD"/>
    <w:rsid w:val="004C28FB"/>
    <w:rsid w:val="004C29B3"/>
    <w:rsid w:val="004C2D8D"/>
    <w:rsid w:val="004C3014"/>
    <w:rsid w:val="004C3E68"/>
    <w:rsid w:val="004C3F6B"/>
    <w:rsid w:val="004C4686"/>
    <w:rsid w:val="004C49F8"/>
    <w:rsid w:val="004C4AB2"/>
    <w:rsid w:val="004C4BE9"/>
    <w:rsid w:val="004C4E26"/>
    <w:rsid w:val="004C51A9"/>
    <w:rsid w:val="004C5ADF"/>
    <w:rsid w:val="004C5B5B"/>
    <w:rsid w:val="004C5C12"/>
    <w:rsid w:val="004C6022"/>
    <w:rsid w:val="004C60D4"/>
    <w:rsid w:val="004C6247"/>
    <w:rsid w:val="004C634B"/>
    <w:rsid w:val="004C63F7"/>
    <w:rsid w:val="004C6404"/>
    <w:rsid w:val="004C68C4"/>
    <w:rsid w:val="004C69E7"/>
    <w:rsid w:val="004C6ADD"/>
    <w:rsid w:val="004C6B75"/>
    <w:rsid w:val="004C6BC9"/>
    <w:rsid w:val="004C7169"/>
    <w:rsid w:val="004C7210"/>
    <w:rsid w:val="004C79BE"/>
    <w:rsid w:val="004C7DF3"/>
    <w:rsid w:val="004C7F20"/>
    <w:rsid w:val="004D0625"/>
    <w:rsid w:val="004D06CB"/>
    <w:rsid w:val="004D0973"/>
    <w:rsid w:val="004D0ABC"/>
    <w:rsid w:val="004D0B87"/>
    <w:rsid w:val="004D0EA9"/>
    <w:rsid w:val="004D185D"/>
    <w:rsid w:val="004D1ECF"/>
    <w:rsid w:val="004D2680"/>
    <w:rsid w:val="004D2F5A"/>
    <w:rsid w:val="004D3579"/>
    <w:rsid w:val="004D36CB"/>
    <w:rsid w:val="004D3783"/>
    <w:rsid w:val="004D3881"/>
    <w:rsid w:val="004D3A02"/>
    <w:rsid w:val="004D3A28"/>
    <w:rsid w:val="004D3D61"/>
    <w:rsid w:val="004D41EF"/>
    <w:rsid w:val="004D445F"/>
    <w:rsid w:val="004D44B3"/>
    <w:rsid w:val="004D472D"/>
    <w:rsid w:val="004D485D"/>
    <w:rsid w:val="004D4867"/>
    <w:rsid w:val="004D4B6F"/>
    <w:rsid w:val="004D4C8E"/>
    <w:rsid w:val="004D52AC"/>
    <w:rsid w:val="004D556A"/>
    <w:rsid w:val="004D58FF"/>
    <w:rsid w:val="004D5BFE"/>
    <w:rsid w:val="004D5F97"/>
    <w:rsid w:val="004D61C2"/>
    <w:rsid w:val="004D61F0"/>
    <w:rsid w:val="004D63C8"/>
    <w:rsid w:val="004D68B1"/>
    <w:rsid w:val="004D6C55"/>
    <w:rsid w:val="004D6CB9"/>
    <w:rsid w:val="004D6F31"/>
    <w:rsid w:val="004D7A6D"/>
    <w:rsid w:val="004D7DDE"/>
    <w:rsid w:val="004D7E8F"/>
    <w:rsid w:val="004E000A"/>
    <w:rsid w:val="004E01AC"/>
    <w:rsid w:val="004E091A"/>
    <w:rsid w:val="004E103E"/>
    <w:rsid w:val="004E104C"/>
    <w:rsid w:val="004E1AE0"/>
    <w:rsid w:val="004E1CF0"/>
    <w:rsid w:val="004E1D14"/>
    <w:rsid w:val="004E1E34"/>
    <w:rsid w:val="004E1E8D"/>
    <w:rsid w:val="004E1F7A"/>
    <w:rsid w:val="004E2149"/>
    <w:rsid w:val="004E26C6"/>
    <w:rsid w:val="004E2CD3"/>
    <w:rsid w:val="004E2E8A"/>
    <w:rsid w:val="004E38B7"/>
    <w:rsid w:val="004E39CC"/>
    <w:rsid w:val="004E39E2"/>
    <w:rsid w:val="004E3A6E"/>
    <w:rsid w:val="004E3BDF"/>
    <w:rsid w:val="004E3D3D"/>
    <w:rsid w:val="004E3EDE"/>
    <w:rsid w:val="004E3F85"/>
    <w:rsid w:val="004E42B0"/>
    <w:rsid w:val="004E438E"/>
    <w:rsid w:val="004E4792"/>
    <w:rsid w:val="004E4ABC"/>
    <w:rsid w:val="004E4E12"/>
    <w:rsid w:val="004E4FC3"/>
    <w:rsid w:val="004E51C7"/>
    <w:rsid w:val="004E5862"/>
    <w:rsid w:val="004E598B"/>
    <w:rsid w:val="004E59AD"/>
    <w:rsid w:val="004E5EF4"/>
    <w:rsid w:val="004E5F17"/>
    <w:rsid w:val="004E61AA"/>
    <w:rsid w:val="004E6214"/>
    <w:rsid w:val="004E6259"/>
    <w:rsid w:val="004E69D3"/>
    <w:rsid w:val="004E6BBE"/>
    <w:rsid w:val="004E6F00"/>
    <w:rsid w:val="004E7354"/>
    <w:rsid w:val="004E7372"/>
    <w:rsid w:val="004E73E6"/>
    <w:rsid w:val="004F00BD"/>
    <w:rsid w:val="004F01F9"/>
    <w:rsid w:val="004F04DB"/>
    <w:rsid w:val="004F072F"/>
    <w:rsid w:val="004F0945"/>
    <w:rsid w:val="004F0A87"/>
    <w:rsid w:val="004F0CFA"/>
    <w:rsid w:val="004F0E8D"/>
    <w:rsid w:val="004F15CE"/>
    <w:rsid w:val="004F1EC1"/>
    <w:rsid w:val="004F1FAF"/>
    <w:rsid w:val="004F2563"/>
    <w:rsid w:val="004F27B5"/>
    <w:rsid w:val="004F293B"/>
    <w:rsid w:val="004F2D0F"/>
    <w:rsid w:val="004F2D2E"/>
    <w:rsid w:val="004F2D67"/>
    <w:rsid w:val="004F304B"/>
    <w:rsid w:val="004F306D"/>
    <w:rsid w:val="004F31FF"/>
    <w:rsid w:val="004F355C"/>
    <w:rsid w:val="004F3A95"/>
    <w:rsid w:val="004F3AD7"/>
    <w:rsid w:val="004F41C4"/>
    <w:rsid w:val="004F4248"/>
    <w:rsid w:val="004F49F9"/>
    <w:rsid w:val="004F4A66"/>
    <w:rsid w:val="004F4AC8"/>
    <w:rsid w:val="004F4BB1"/>
    <w:rsid w:val="004F4E6E"/>
    <w:rsid w:val="004F50AB"/>
    <w:rsid w:val="004F5339"/>
    <w:rsid w:val="004F599A"/>
    <w:rsid w:val="004F5B8B"/>
    <w:rsid w:val="004F5C48"/>
    <w:rsid w:val="004F5D86"/>
    <w:rsid w:val="004F63F8"/>
    <w:rsid w:val="004F698B"/>
    <w:rsid w:val="004F6B7F"/>
    <w:rsid w:val="004F70FD"/>
    <w:rsid w:val="004F71E1"/>
    <w:rsid w:val="004F7B75"/>
    <w:rsid w:val="004F7EA3"/>
    <w:rsid w:val="004F7F7A"/>
    <w:rsid w:val="005003C0"/>
    <w:rsid w:val="00500418"/>
    <w:rsid w:val="0050051C"/>
    <w:rsid w:val="00500697"/>
    <w:rsid w:val="00500DA6"/>
    <w:rsid w:val="00500E16"/>
    <w:rsid w:val="00500E70"/>
    <w:rsid w:val="0050111D"/>
    <w:rsid w:val="00501191"/>
    <w:rsid w:val="005013C3"/>
    <w:rsid w:val="00501478"/>
    <w:rsid w:val="0050168C"/>
    <w:rsid w:val="00501A7C"/>
    <w:rsid w:val="00501F81"/>
    <w:rsid w:val="0050286A"/>
    <w:rsid w:val="00503016"/>
    <w:rsid w:val="00503218"/>
    <w:rsid w:val="00503914"/>
    <w:rsid w:val="00503B2B"/>
    <w:rsid w:val="00503BAA"/>
    <w:rsid w:val="00503C51"/>
    <w:rsid w:val="00503DCE"/>
    <w:rsid w:val="0050428B"/>
    <w:rsid w:val="00504524"/>
    <w:rsid w:val="00504F0A"/>
    <w:rsid w:val="005056B4"/>
    <w:rsid w:val="00505957"/>
    <w:rsid w:val="00505A13"/>
    <w:rsid w:val="00505A33"/>
    <w:rsid w:val="00505D17"/>
    <w:rsid w:val="005063F0"/>
    <w:rsid w:val="005068A4"/>
    <w:rsid w:val="00506AAC"/>
    <w:rsid w:val="00506AC4"/>
    <w:rsid w:val="00507440"/>
    <w:rsid w:val="0050776E"/>
    <w:rsid w:val="0050792A"/>
    <w:rsid w:val="005079FE"/>
    <w:rsid w:val="00507A88"/>
    <w:rsid w:val="00507C1D"/>
    <w:rsid w:val="00507CD8"/>
    <w:rsid w:val="005100E8"/>
    <w:rsid w:val="00510195"/>
    <w:rsid w:val="00510359"/>
    <w:rsid w:val="00510444"/>
    <w:rsid w:val="0051076C"/>
    <w:rsid w:val="00510EB0"/>
    <w:rsid w:val="00511603"/>
    <w:rsid w:val="00511D80"/>
    <w:rsid w:val="00511F8D"/>
    <w:rsid w:val="00512143"/>
    <w:rsid w:val="005121C1"/>
    <w:rsid w:val="00512396"/>
    <w:rsid w:val="005124D6"/>
    <w:rsid w:val="00512AD7"/>
    <w:rsid w:val="00512B4F"/>
    <w:rsid w:val="00512B70"/>
    <w:rsid w:val="00512F77"/>
    <w:rsid w:val="005130F6"/>
    <w:rsid w:val="005131F6"/>
    <w:rsid w:val="005132FF"/>
    <w:rsid w:val="0051394C"/>
    <w:rsid w:val="00513D6F"/>
    <w:rsid w:val="00513D78"/>
    <w:rsid w:val="00513F81"/>
    <w:rsid w:val="005140B4"/>
    <w:rsid w:val="005140DF"/>
    <w:rsid w:val="005142AF"/>
    <w:rsid w:val="005142C8"/>
    <w:rsid w:val="005147FD"/>
    <w:rsid w:val="00514BAF"/>
    <w:rsid w:val="00514C29"/>
    <w:rsid w:val="00514E67"/>
    <w:rsid w:val="00514E96"/>
    <w:rsid w:val="0051551B"/>
    <w:rsid w:val="0051572C"/>
    <w:rsid w:val="00515749"/>
    <w:rsid w:val="005159B8"/>
    <w:rsid w:val="005159CC"/>
    <w:rsid w:val="00516179"/>
    <w:rsid w:val="005165FC"/>
    <w:rsid w:val="00516A82"/>
    <w:rsid w:val="0051723C"/>
    <w:rsid w:val="005173AE"/>
    <w:rsid w:val="0051775F"/>
    <w:rsid w:val="005177B1"/>
    <w:rsid w:val="00520064"/>
    <w:rsid w:val="00520481"/>
    <w:rsid w:val="005207F0"/>
    <w:rsid w:val="00520831"/>
    <w:rsid w:val="00520972"/>
    <w:rsid w:val="00520BAE"/>
    <w:rsid w:val="00520CC1"/>
    <w:rsid w:val="0052118F"/>
    <w:rsid w:val="005216B9"/>
    <w:rsid w:val="005221FA"/>
    <w:rsid w:val="005227F1"/>
    <w:rsid w:val="0052369C"/>
    <w:rsid w:val="005236AB"/>
    <w:rsid w:val="00523761"/>
    <w:rsid w:val="00523A81"/>
    <w:rsid w:val="00523BDD"/>
    <w:rsid w:val="00523C1E"/>
    <w:rsid w:val="00523FE5"/>
    <w:rsid w:val="00524224"/>
    <w:rsid w:val="00524357"/>
    <w:rsid w:val="00524BEA"/>
    <w:rsid w:val="005253F3"/>
    <w:rsid w:val="005257B6"/>
    <w:rsid w:val="005259E7"/>
    <w:rsid w:val="00525B8B"/>
    <w:rsid w:val="00526621"/>
    <w:rsid w:val="00526AEB"/>
    <w:rsid w:val="00527067"/>
    <w:rsid w:val="00527724"/>
    <w:rsid w:val="0052787C"/>
    <w:rsid w:val="00527A20"/>
    <w:rsid w:val="00527D33"/>
    <w:rsid w:val="00527DE2"/>
    <w:rsid w:val="00527ECE"/>
    <w:rsid w:val="0053013E"/>
    <w:rsid w:val="00530820"/>
    <w:rsid w:val="005310A4"/>
    <w:rsid w:val="00531B64"/>
    <w:rsid w:val="0053225C"/>
    <w:rsid w:val="00532C10"/>
    <w:rsid w:val="00533969"/>
    <w:rsid w:val="00533AC3"/>
    <w:rsid w:val="00533C6C"/>
    <w:rsid w:val="00533E05"/>
    <w:rsid w:val="00534745"/>
    <w:rsid w:val="005349AE"/>
    <w:rsid w:val="00534C31"/>
    <w:rsid w:val="00535089"/>
    <w:rsid w:val="00535498"/>
    <w:rsid w:val="0053563F"/>
    <w:rsid w:val="0053593B"/>
    <w:rsid w:val="00535D8E"/>
    <w:rsid w:val="00535E98"/>
    <w:rsid w:val="00535EB5"/>
    <w:rsid w:val="00536167"/>
    <w:rsid w:val="005361CB"/>
    <w:rsid w:val="00536261"/>
    <w:rsid w:val="00536299"/>
    <w:rsid w:val="005368FA"/>
    <w:rsid w:val="00536A59"/>
    <w:rsid w:val="00536C3C"/>
    <w:rsid w:val="005370D8"/>
    <w:rsid w:val="00537752"/>
    <w:rsid w:val="005378E3"/>
    <w:rsid w:val="00537C49"/>
    <w:rsid w:val="005405EF"/>
    <w:rsid w:val="00540A05"/>
    <w:rsid w:val="00540C1A"/>
    <w:rsid w:val="00541241"/>
    <w:rsid w:val="00541A40"/>
    <w:rsid w:val="00542093"/>
    <w:rsid w:val="00542439"/>
    <w:rsid w:val="00542566"/>
    <w:rsid w:val="00542B1B"/>
    <w:rsid w:val="00542CB6"/>
    <w:rsid w:val="00542E06"/>
    <w:rsid w:val="00543189"/>
    <w:rsid w:val="005431CC"/>
    <w:rsid w:val="0054362A"/>
    <w:rsid w:val="00543C3E"/>
    <w:rsid w:val="0054414A"/>
    <w:rsid w:val="00544168"/>
    <w:rsid w:val="00544209"/>
    <w:rsid w:val="0054428E"/>
    <w:rsid w:val="00544389"/>
    <w:rsid w:val="0054443A"/>
    <w:rsid w:val="00544B22"/>
    <w:rsid w:val="00544E6C"/>
    <w:rsid w:val="00545101"/>
    <w:rsid w:val="005454DB"/>
    <w:rsid w:val="00545634"/>
    <w:rsid w:val="005456FA"/>
    <w:rsid w:val="00545FCB"/>
    <w:rsid w:val="00546262"/>
    <w:rsid w:val="0054663F"/>
    <w:rsid w:val="0054671D"/>
    <w:rsid w:val="0054678B"/>
    <w:rsid w:val="0054682D"/>
    <w:rsid w:val="005468D8"/>
    <w:rsid w:val="00546B70"/>
    <w:rsid w:val="00546C6F"/>
    <w:rsid w:val="00546E4A"/>
    <w:rsid w:val="0054706A"/>
    <w:rsid w:val="00547135"/>
    <w:rsid w:val="005475EF"/>
    <w:rsid w:val="00547F3F"/>
    <w:rsid w:val="00547F95"/>
    <w:rsid w:val="00550264"/>
    <w:rsid w:val="00550898"/>
    <w:rsid w:val="005509B4"/>
    <w:rsid w:val="00550C6C"/>
    <w:rsid w:val="00550D4B"/>
    <w:rsid w:val="00550EFF"/>
    <w:rsid w:val="00551463"/>
    <w:rsid w:val="005517AB"/>
    <w:rsid w:val="00551853"/>
    <w:rsid w:val="00551920"/>
    <w:rsid w:val="00551DFA"/>
    <w:rsid w:val="00551FF0"/>
    <w:rsid w:val="0055261E"/>
    <w:rsid w:val="00552918"/>
    <w:rsid w:val="00552993"/>
    <w:rsid w:val="00552B81"/>
    <w:rsid w:val="00552DE0"/>
    <w:rsid w:val="005539CB"/>
    <w:rsid w:val="00553DF6"/>
    <w:rsid w:val="00554119"/>
    <w:rsid w:val="00554628"/>
    <w:rsid w:val="005546DA"/>
    <w:rsid w:val="005548A2"/>
    <w:rsid w:val="00554A4B"/>
    <w:rsid w:val="005552F2"/>
    <w:rsid w:val="00555525"/>
    <w:rsid w:val="00555C5C"/>
    <w:rsid w:val="00556160"/>
    <w:rsid w:val="00556946"/>
    <w:rsid w:val="00556A1A"/>
    <w:rsid w:val="00556E31"/>
    <w:rsid w:val="00556E70"/>
    <w:rsid w:val="005570E7"/>
    <w:rsid w:val="005575C8"/>
    <w:rsid w:val="005578BE"/>
    <w:rsid w:val="00557B77"/>
    <w:rsid w:val="00557CC8"/>
    <w:rsid w:val="00560176"/>
    <w:rsid w:val="0056039C"/>
    <w:rsid w:val="005608BE"/>
    <w:rsid w:val="005608F0"/>
    <w:rsid w:val="00560956"/>
    <w:rsid w:val="00561063"/>
    <w:rsid w:val="005610B5"/>
    <w:rsid w:val="005616EC"/>
    <w:rsid w:val="005616F3"/>
    <w:rsid w:val="00561798"/>
    <w:rsid w:val="00561FB8"/>
    <w:rsid w:val="00562716"/>
    <w:rsid w:val="00562995"/>
    <w:rsid w:val="005630C9"/>
    <w:rsid w:val="00563995"/>
    <w:rsid w:val="00563B92"/>
    <w:rsid w:val="00563EAB"/>
    <w:rsid w:val="0056481C"/>
    <w:rsid w:val="00564ACA"/>
    <w:rsid w:val="00564B2B"/>
    <w:rsid w:val="005650BF"/>
    <w:rsid w:val="005653D1"/>
    <w:rsid w:val="00565792"/>
    <w:rsid w:val="0056608D"/>
    <w:rsid w:val="00566452"/>
    <w:rsid w:val="005664AB"/>
    <w:rsid w:val="00566593"/>
    <w:rsid w:val="005666CF"/>
    <w:rsid w:val="00567008"/>
    <w:rsid w:val="00567BE9"/>
    <w:rsid w:val="005700CD"/>
    <w:rsid w:val="00570382"/>
    <w:rsid w:val="005707E8"/>
    <w:rsid w:val="00570C08"/>
    <w:rsid w:val="00571549"/>
    <w:rsid w:val="00571AA6"/>
    <w:rsid w:val="00571EE5"/>
    <w:rsid w:val="0057232F"/>
    <w:rsid w:val="00572B59"/>
    <w:rsid w:val="005730F7"/>
    <w:rsid w:val="005733F9"/>
    <w:rsid w:val="0057358A"/>
    <w:rsid w:val="0057386D"/>
    <w:rsid w:val="00573893"/>
    <w:rsid w:val="005738BD"/>
    <w:rsid w:val="0057393A"/>
    <w:rsid w:val="00573D6D"/>
    <w:rsid w:val="00573EEF"/>
    <w:rsid w:val="00573F90"/>
    <w:rsid w:val="005742D1"/>
    <w:rsid w:val="005745ED"/>
    <w:rsid w:val="0057486D"/>
    <w:rsid w:val="005749C7"/>
    <w:rsid w:val="00574B8D"/>
    <w:rsid w:val="00574BE0"/>
    <w:rsid w:val="00574C29"/>
    <w:rsid w:val="005750AB"/>
    <w:rsid w:val="005751A8"/>
    <w:rsid w:val="005752DF"/>
    <w:rsid w:val="00575693"/>
    <w:rsid w:val="00575F5A"/>
    <w:rsid w:val="00576013"/>
    <w:rsid w:val="00576158"/>
    <w:rsid w:val="005761E4"/>
    <w:rsid w:val="005762BF"/>
    <w:rsid w:val="00577300"/>
    <w:rsid w:val="005773A5"/>
    <w:rsid w:val="005773E6"/>
    <w:rsid w:val="0057778E"/>
    <w:rsid w:val="005779B5"/>
    <w:rsid w:val="00577D80"/>
    <w:rsid w:val="00577EE6"/>
    <w:rsid w:val="00577F69"/>
    <w:rsid w:val="00580040"/>
    <w:rsid w:val="00580195"/>
    <w:rsid w:val="005801D5"/>
    <w:rsid w:val="005802C8"/>
    <w:rsid w:val="0058049B"/>
    <w:rsid w:val="0058068B"/>
    <w:rsid w:val="00580DD1"/>
    <w:rsid w:val="00581386"/>
    <w:rsid w:val="0058151D"/>
    <w:rsid w:val="00581A18"/>
    <w:rsid w:val="00581F3B"/>
    <w:rsid w:val="0058230D"/>
    <w:rsid w:val="0058240A"/>
    <w:rsid w:val="005825CC"/>
    <w:rsid w:val="00582720"/>
    <w:rsid w:val="00582F28"/>
    <w:rsid w:val="005837A5"/>
    <w:rsid w:val="0058381C"/>
    <w:rsid w:val="005838D7"/>
    <w:rsid w:val="00584219"/>
    <w:rsid w:val="005843D3"/>
    <w:rsid w:val="005846DD"/>
    <w:rsid w:val="00584AE1"/>
    <w:rsid w:val="00584C31"/>
    <w:rsid w:val="00584E43"/>
    <w:rsid w:val="00584F33"/>
    <w:rsid w:val="00585881"/>
    <w:rsid w:val="005858BC"/>
    <w:rsid w:val="00585D54"/>
    <w:rsid w:val="00585FA1"/>
    <w:rsid w:val="00586039"/>
    <w:rsid w:val="00586302"/>
    <w:rsid w:val="005869B6"/>
    <w:rsid w:val="00586BC9"/>
    <w:rsid w:val="00586D97"/>
    <w:rsid w:val="0058706E"/>
    <w:rsid w:val="00587643"/>
    <w:rsid w:val="0058773F"/>
    <w:rsid w:val="0058797E"/>
    <w:rsid w:val="00587DB2"/>
    <w:rsid w:val="00587EA1"/>
    <w:rsid w:val="00587F93"/>
    <w:rsid w:val="005902B2"/>
    <w:rsid w:val="00590562"/>
    <w:rsid w:val="005906EF"/>
    <w:rsid w:val="00590A6F"/>
    <w:rsid w:val="00590AE5"/>
    <w:rsid w:val="005911DC"/>
    <w:rsid w:val="005917B4"/>
    <w:rsid w:val="00591C1B"/>
    <w:rsid w:val="00592069"/>
    <w:rsid w:val="00592494"/>
    <w:rsid w:val="005924C2"/>
    <w:rsid w:val="00592C4E"/>
    <w:rsid w:val="00592FBF"/>
    <w:rsid w:val="005935CF"/>
    <w:rsid w:val="005937F8"/>
    <w:rsid w:val="0059381C"/>
    <w:rsid w:val="00593D23"/>
    <w:rsid w:val="00593DBF"/>
    <w:rsid w:val="00593E33"/>
    <w:rsid w:val="00594003"/>
    <w:rsid w:val="00594066"/>
    <w:rsid w:val="00594257"/>
    <w:rsid w:val="00594289"/>
    <w:rsid w:val="005942BC"/>
    <w:rsid w:val="005944B4"/>
    <w:rsid w:val="0059453D"/>
    <w:rsid w:val="0059482B"/>
    <w:rsid w:val="005949C2"/>
    <w:rsid w:val="00594AF3"/>
    <w:rsid w:val="00594DAF"/>
    <w:rsid w:val="00594E4C"/>
    <w:rsid w:val="00594F9C"/>
    <w:rsid w:val="00594FF7"/>
    <w:rsid w:val="00595D95"/>
    <w:rsid w:val="00595E32"/>
    <w:rsid w:val="00595F4E"/>
    <w:rsid w:val="00596699"/>
    <w:rsid w:val="00596874"/>
    <w:rsid w:val="005969E5"/>
    <w:rsid w:val="00596C6C"/>
    <w:rsid w:val="00596C73"/>
    <w:rsid w:val="00596DA3"/>
    <w:rsid w:val="00596F0D"/>
    <w:rsid w:val="00596F57"/>
    <w:rsid w:val="005973BC"/>
    <w:rsid w:val="005974A0"/>
    <w:rsid w:val="0059780C"/>
    <w:rsid w:val="00597C2E"/>
    <w:rsid w:val="005A00E0"/>
    <w:rsid w:val="005A01A6"/>
    <w:rsid w:val="005A030A"/>
    <w:rsid w:val="005A0893"/>
    <w:rsid w:val="005A0AA1"/>
    <w:rsid w:val="005A11C5"/>
    <w:rsid w:val="005A124F"/>
    <w:rsid w:val="005A1861"/>
    <w:rsid w:val="005A1BE6"/>
    <w:rsid w:val="005A2003"/>
    <w:rsid w:val="005A233F"/>
    <w:rsid w:val="005A24B0"/>
    <w:rsid w:val="005A2E51"/>
    <w:rsid w:val="005A2ECD"/>
    <w:rsid w:val="005A317A"/>
    <w:rsid w:val="005A3213"/>
    <w:rsid w:val="005A3B55"/>
    <w:rsid w:val="005A3B99"/>
    <w:rsid w:val="005A4326"/>
    <w:rsid w:val="005A4372"/>
    <w:rsid w:val="005A4703"/>
    <w:rsid w:val="005A4C81"/>
    <w:rsid w:val="005A51CD"/>
    <w:rsid w:val="005A57CA"/>
    <w:rsid w:val="005A589D"/>
    <w:rsid w:val="005A5AA2"/>
    <w:rsid w:val="005A6140"/>
    <w:rsid w:val="005A6245"/>
    <w:rsid w:val="005A651B"/>
    <w:rsid w:val="005A6AEB"/>
    <w:rsid w:val="005A6E53"/>
    <w:rsid w:val="005A6EC1"/>
    <w:rsid w:val="005A79B1"/>
    <w:rsid w:val="005B073A"/>
    <w:rsid w:val="005B08E7"/>
    <w:rsid w:val="005B0D25"/>
    <w:rsid w:val="005B0F0A"/>
    <w:rsid w:val="005B1347"/>
    <w:rsid w:val="005B200F"/>
    <w:rsid w:val="005B268C"/>
    <w:rsid w:val="005B2A2A"/>
    <w:rsid w:val="005B309A"/>
    <w:rsid w:val="005B32AA"/>
    <w:rsid w:val="005B3494"/>
    <w:rsid w:val="005B3608"/>
    <w:rsid w:val="005B363D"/>
    <w:rsid w:val="005B3A5A"/>
    <w:rsid w:val="005B3B51"/>
    <w:rsid w:val="005B3DFB"/>
    <w:rsid w:val="005B41CC"/>
    <w:rsid w:val="005B43A5"/>
    <w:rsid w:val="005B45A0"/>
    <w:rsid w:val="005B4886"/>
    <w:rsid w:val="005B4B06"/>
    <w:rsid w:val="005B4B46"/>
    <w:rsid w:val="005B4DF6"/>
    <w:rsid w:val="005B53CA"/>
    <w:rsid w:val="005B55FE"/>
    <w:rsid w:val="005B56CA"/>
    <w:rsid w:val="005B589A"/>
    <w:rsid w:val="005B5B0A"/>
    <w:rsid w:val="005B5CBD"/>
    <w:rsid w:val="005B5E63"/>
    <w:rsid w:val="005B5E89"/>
    <w:rsid w:val="005B64CB"/>
    <w:rsid w:val="005B6559"/>
    <w:rsid w:val="005B6ED8"/>
    <w:rsid w:val="005B6F01"/>
    <w:rsid w:val="005B700C"/>
    <w:rsid w:val="005B7762"/>
    <w:rsid w:val="005B7B28"/>
    <w:rsid w:val="005B7E6B"/>
    <w:rsid w:val="005C01D9"/>
    <w:rsid w:val="005C065E"/>
    <w:rsid w:val="005C0AAE"/>
    <w:rsid w:val="005C0DC3"/>
    <w:rsid w:val="005C0FFB"/>
    <w:rsid w:val="005C13F4"/>
    <w:rsid w:val="005C1782"/>
    <w:rsid w:val="005C1789"/>
    <w:rsid w:val="005C190B"/>
    <w:rsid w:val="005C1978"/>
    <w:rsid w:val="005C1C71"/>
    <w:rsid w:val="005C202E"/>
    <w:rsid w:val="005C2297"/>
    <w:rsid w:val="005C26C4"/>
    <w:rsid w:val="005C2792"/>
    <w:rsid w:val="005C2E5F"/>
    <w:rsid w:val="005C2FC7"/>
    <w:rsid w:val="005C2FDD"/>
    <w:rsid w:val="005C38BE"/>
    <w:rsid w:val="005C38E5"/>
    <w:rsid w:val="005C39FA"/>
    <w:rsid w:val="005C3A0E"/>
    <w:rsid w:val="005C3E06"/>
    <w:rsid w:val="005C3E4E"/>
    <w:rsid w:val="005C401C"/>
    <w:rsid w:val="005C4A61"/>
    <w:rsid w:val="005C4B6A"/>
    <w:rsid w:val="005C4DB5"/>
    <w:rsid w:val="005C5A1B"/>
    <w:rsid w:val="005C5CB1"/>
    <w:rsid w:val="005C623A"/>
    <w:rsid w:val="005C64A5"/>
    <w:rsid w:val="005C68E8"/>
    <w:rsid w:val="005C6AC5"/>
    <w:rsid w:val="005C6EE8"/>
    <w:rsid w:val="005C7894"/>
    <w:rsid w:val="005C7D74"/>
    <w:rsid w:val="005D02D8"/>
    <w:rsid w:val="005D02F9"/>
    <w:rsid w:val="005D0746"/>
    <w:rsid w:val="005D07DD"/>
    <w:rsid w:val="005D0D87"/>
    <w:rsid w:val="005D1B23"/>
    <w:rsid w:val="005D20CB"/>
    <w:rsid w:val="005D22AA"/>
    <w:rsid w:val="005D2381"/>
    <w:rsid w:val="005D2453"/>
    <w:rsid w:val="005D2993"/>
    <w:rsid w:val="005D2CC9"/>
    <w:rsid w:val="005D2D4E"/>
    <w:rsid w:val="005D3268"/>
    <w:rsid w:val="005D35D8"/>
    <w:rsid w:val="005D381C"/>
    <w:rsid w:val="005D3A52"/>
    <w:rsid w:val="005D43EF"/>
    <w:rsid w:val="005D4CDF"/>
    <w:rsid w:val="005D4DA5"/>
    <w:rsid w:val="005D50EC"/>
    <w:rsid w:val="005D52D4"/>
    <w:rsid w:val="005D533D"/>
    <w:rsid w:val="005D5659"/>
    <w:rsid w:val="005D56AA"/>
    <w:rsid w:val="005D57BE"/>
    <w:rsid w:val="005D58EE"/>
    <w:rsid w:val="005D59EE"/>
    <w:rsid w:val="005D5AC0"/>
    <w:rsid w:val="005D5C9B"/>
    <w:rsid w:val="005D5D72"/>
    <w:rsid w:val="005D5EB1"/>
    <w:rsid w:val="005D601C"/>
    <w:rsid w:val="005D67AB"/>
    <w:rsid w:val="005D7104"/>
    <w:rsid w:val="005D7446"/>
    <w:rsid w:val="005D7E44"/>
    <w:rsid w:val="005E06F8"/>
    <w:rsid w:val="005E09B1"/>
    <w:rsid w:val="005E0A33"/>
    <w:rsid w:val="005E0D05"/>
    <w:rsid w:val="005E0D2D"/>
    <w:rsid w:val="005E11C4"/>
    <w:rsid w:val="005E13EB"/>
    <w:rsid w:val="005E18C0"/>
    <w:rsid w:val="005E1936"/>
    <w:rsid w:val="005E1A33"/>
    <w:rsid w:val="005E1E3A"/>
    <w:rsid w:val="005E2523"/>
    <w:rsid w:val="005E2703"/>
    <w:rsid w:val="005E281A"/>
    <w:rsid w:val="005E2C7A"/>
    <w:rsid w:val="005E2C7B"/>
    <w:rsid w:val="005E2FD4"/>
    <w:rsid w:val="005E3447"/>
    <w:rsid w:val="005E3586"/>
    <w:rsid w:val="005E37C7"/>
    <w:rsid w:val="005E37F4"/>
    <w:rsid w:val="005E3A3A"/>
    <w:rsid w:val="005E3E49"/>
    <w:rsid w:val="005E4082"/>
    <w:rsid w:val="005E4310"/>
    <w:rsid w:val="005E4448"/>
    <w:rsid w:val="005E457D"/>
    <w:rsid w:val="005E46E0"/>
    <w:rsid w:val="005E478A"/>
    <w:rsid w:val="005E499C"/>
    <w:rsid w:val="005E4B35"/>
    <w:rsid w:val="005E4BF5"/>
    <w:rsid w:val="005E56AC"/>
    <w:rsid w:val="005E578D"/>
    <w:rsid w:val="005E58A0"/>
    <w:rsid w:val="005E5C64"/>
    <w:rsid w:val="005E6359"/>
    <w:rsid w:val="005E63D9"/>
    <w:rsid w:val="005E665D"/>
    <w:rsid w:val="005E6E1D"/>
    <w:rsid w:val="005E6F63"/>
    <w:rsid w:val="005E6F7C"/>
    <w:rsid w:val="005E71B4"/>
    <w:rsid w:val="005E74CF"/>
    <w:rsid w:val="005E74F4"/>
    <w:rsid w:val="005E765A"/>
    <w:rsid w:val="005E769F"/>
    <w:rsid w:val="005E7902"/>
    <w:rsid w:val="005E7AD5"/>
    <w:rsid w:val="005F00E9"/>
    <w:rsid w:val="005F02C3"/>
    <w:rsid w:val="005F0788"/>
    <w:rsid w:val="005F080F"/>
    <w:rsid w:val="005F090B"/>
    <w:rsid w:val="005F113F"/>
    <w:rsid w:val="005F11E4"/>
    <w:rsid w:val="005F12CE"/>
    <w:rsid w:val="005F15E8"/>
    <w:rsid w:val="005F1D55"/>
    <w:rsid w:val="005F2017"/>
    <w:rsid w:val="005F2369"/>
    <w:rsid w:val="005F253F"/>
    <w:rsid w:val="005F2586"/>
    <w:rsid w:val="005F275D"/>
    <w:rsid w:val="005F2D85"/>
    <w:rsid w:val="005F2F67"/>
    <w:rsid w:val="005F305C"/>
    <w:rsid w:val="005F31D4"/>
    <w:rsid w:val="005F3647"/>
    <w:rsid w:val="005F4396"/>
    <w:rsid w:val="005F482B"/>
    <w:rsid w:val="005F49DE"/>
    <w:rsid w:val="005F4B45"/>
    <w:rsid w:val="005F4B77"/>
    <w:rsid w:val="005F5162"/>
    <w:rsid w:val="005F51ED"/>
    <w:rsid w:val="005F5228"/>
    <w:rsid w:val="005F5766"/>
    <w:rsid w:val="005F5856"/>
    <w:rsid w:val="005F5857"/>
    <w:rsid w:val="005F5986"/>
    <w:rsid w:val="005F5ABD"/>
    <w:rsid w:val="005F5B72"/>
    <w:rsid w:val="005F5D3C"/>
    <w:rsid w:val="005F662F"/>
    <w:rsid w:val="005F6683"/>
    <w:rsid w:val="005F680D"/>
    <w:rsid w:val="005F6C04"/>
    <w:rsid w:val="005F6EFC"/>
    <w:rsid w:val="005F74DC"/>
    <w:rsid w:val="005F758E"/>
    <w:rsid w:val="005F78A2"/>
    <w:rsid w:val="00600341"/>
    <w:rsid w:val="00600411"/>
    <w:rsid w:val="006004B9"/>
    <w:rsid w:val="00600577"/>
    <w:rsid w:val="0060068E"/>
    <w:rsid w:val="006007BB"/>
    <w:rsid w:val="00600E2E"/>
    <w:rsid w:val="006011B3"/>
    <w:rsid w:val="00601988"/>
    <w:rsid w:val="0060209D"/>
    <w:rsid w:val="00602947"/>
    <w:rsid w:val="00602E18"/>
    <w:rsid w:val="00602EDB"/>
    <w:rsid w:val="00602F12"/>
    <w:rsid w:val="00603057"/>
    <w:rsid w:val="00603DEC"/>
    <w:rsid w:val="00603ED4"/>
    <w:rsid w:val="00603EDB"/>
    <w:rsid w:val="00604027"/>
    <w:rsid w:val="006041CD"/>
    <w:rsid w:val="0060433B"/>
    <w:rsid w:val="006043DF"/>
    <w:rsid w:val="0060476A"/>
    <w:rsid w:val="00604AB5"/>
    <w:rsid w:val="00604F42"/>
    <w:rsid w:val="006058B6"/>
    <w:rsid w:val="00605B2C"/>
    <w:rsid w:val="00605BF9"/>
    <w:rsid w:val="00605F6A"/>
    <w:rsid w:val="00606BD4"/>
    <w:rsid w:val="00606CEC"/>
    <w:rsid w:val="00606DF1"/>
    <w:rsid w:val="00606F11"/>
    <w:rsid w:val="00607471"/>
    <w:rsid w:val="006074DE"/>
    <w:rsid w:val="006077C4"/>
    <w:rsid w:val="00607965"/>
    <w:rsid w:val="00607A30"/>
    <w:rsid w:val="00607CE8"/>
    <w:rsid w:val="00607F64"/>
    <w:rsid w:val="00610152"/>
    <w:rsid w:val="00610320"/>
    <w:rsid w:val="0061043F"/>
    <w:rsid w:val="006109EB"/>
    <w:rsid w:val="00610A06"/>
    <w:rsid w:val="00610C47"/>
    <w:rsid w:val="00610D86"/>
    <w:rsid w:val="00610ED1"/>
    <w:rsid w:val="00611217"/>
    <w:rsid w:val="006118AB"/>
    <w:rsid w:val="00611A3C"/>
    <w:rsid w:val="00611AA3"/>
    <w:rsid w:val="00611C79"/>
    <w:rsid w:val="00611D72"/>
    <w:rsid w:val="0061223B"/>
    <w:rsid w:val="0061250F"/>
    <w:rsid w:val="00612592"/>
    <w:rsid w:val="00612666"/>
    <w:rsid w:val="0061268B"/>
    <w:rsid w:val="006126E6"/>
    <w:rsid w:val="006128FE"/>
    <w:rsid w:val="00613318"/>
    <w:rsid w:val="006136F1"/>
    <w:rsid w:val="0061391B"/>
    <w:rsid w:val="00613AC6"/>
    <w:rsid w:val="00613B03"/>
    <w:rsid w:val="00613F6B"/>
    <w:rsid w:val="00614AFC"/>
    <w:rsid w:val="00614FD5"/>
    <w:rsid w:val="006150C0"/>
    <w:rsid w:val="006151FC"/>
    <w:rsid w:val="006152E2"/>
    <w:rsid w:val="00615487"/>
    <w:rsid w:val="006164B3"/>
    <w:rsid w:val="00616E03"/>
    <w:rsid w:val="00616E43"/>
    <w:rsid w:val="00616F81"/>
    <w:rsid w:val="00617142"/>
    <w:rsid w:val="006171B2"/>
    <w:rsid w:val="006173C8"/>
    <w:rsid w:val="006173F8"/>
    <w:rsid w:val="006179FC"/>
    <w:rsid w:val="00617B31"/>
    <w:rsid w:val="00620150"/>
    <w:rsid w:val="0062017B"/>
    <w:rsid w:val="00620395"/>
    <w:rsid w:val="006204D7"/>
    <w:rsid w:val="00620692"/>
    <w:rsid w:val="00620B90"/>
    <w:rsid w:val="00620CC1"/>
    <w:rsid w:val="00620DFD"/>
    <w:rsid w:val="00620E90"/>
    <w:rsid w:val="0062134E"/>
    <w:rsid w:val="006214D8"/>
    <w:rsid w:val="0062153C"/>
    <w:rsid w:val="00621549"/>
    <w:rsid w:val="00621671"/>
    <w:rsid w:val="006216CE"/>
    <w:rsid w:val="00621AAF"/>
    <w:rsid w:val="00621EA0"/>
    <w:rsid w:val="006221D6"/>
    <w:rsid w:val="00622248"/>
    <w:rsid w:val="0062247A"/>
    <w:rsid w:val="00622532"/>
    <w:rsid w:val="00622549"/>
    <w:rsid w:val="00622796"/>
    <w:rsid w:val="006227CF"/>
    <w:rsid w:val="00622D0B"/>
    <w:rsid w:val="00623552"/>
    <w:rsid w:val="0062366E"/>
    <w:rsid w:val="00623695"/>
    <w:rsid w:val="0062372A"/>
    <w:rsid w:val="00623882"/>
    <w:rsid w:val="00623987"/>
    <w:rsid w:val="00623DCF"/>
    <w:rsid w:val="006240A6"/>
    <w:rsid w:val="006246CC"/>
    <w:rsid w:val="00625266"/>
    <w:rsid w:val="00625339"/>
    <w:rsid w:val="006257B8"/>
    <w:rsid w:val="0062590F"/>
    <w:rsid w:val="00626491"/>
    <w:rsid w:val="006267E0"/>
    <w:rsid w:val="00626A5F"/>
    <w:rsid w:val="00626A70"/>
    <w:rsid w:val="00626C04"/>
    <w:rsid w:val="00626D80"/>
    <w:rsid w:val="00627176"/>
    <w:rsid w:val="00627321"/>
    <w:rsid w:val="00627517"/>
    <w:rsid w:val="00627662"/>
    <w:rsid w:val="0062778B"/>
    <w:rsid w:val="00627948"/>
    <w:rsid w:val="006301C0"/>
    <w:rsid w:val="0063048A"/>
    <w:rsid w:val="00630566"/>
    <w:rsid w:val="006305DA"/>
    <w:rsid w:val="00630791"/>
    <w:rsid w:val="006309EF"/>
    <w:rsid w:val="00630A47"/>
    <w:rsid w:val="00630D27"/>
    <w:rsid w:val="00630D56"/>
    <w:rsid w:val="00630E50"/>
    <w:rsid w:val="00631184"/>
    <w:rsid w:val="00631207"/>
    <w:rsid w:val="00631FEE"/>
    <w:rsid w:val="00632775"/>
    <w:rsid w:val="006328B7"/>
    <w:rsid w:val="00632BB4"/>
    <w:rsid w:val="0063324B"/>
    <w:rsid w:val="00633318"/>
    <w:rsid w:val="00633398"/>
    <w:rsid w:val="00633E78"/>
    <w:rsid w:val="0063448B"/>
    <w:rsid w:val="00634879"/>
    <w:rsid w:val="00635F3F"/>
    <w:rsid w:val="00636176"/>
    <w:rsid w:val="00636405"/>
    <w:rsid w:val="00636878"/>
    <w:rsid w:val="00636A60"/>
    <w:rsid w:val="0063706D"/>
    <w:rsid w:val="00637115"/>
    <w:rsid w:val="006371C3"/>
    <w:rsid w:val="00637936"/>
    <w:rsid w:val="00637B99"/>
    <w:rsid w:val="00637C2C"/>
    <w:rsid w:val="00637E6A"/>
    <w:rsid w:val="00637FB4"/>
    <w:rsid w:val="00640144"/>
    <w:rsid w:val="00640BC3"/>
    <w:rsid w:val="00640FFD"/>
    <w:rsid w:val="00641443"/>
    <w:rsid w:val="00641479"/>
    <w:rsid w:val="006414C8"/>
    <w:rsid w:val="00641700"/>
    <w:rsid w:val="00641915"/>
    <w:rsid w:val="00641B52"/>
    <w:rsid w:val="00641B70"/>
    <w:rsid w:val="00641C72"/>
    <w:rsid w:val="00641D6D"/>
    <w:rsid w:val="006420C4"/>
    <w:rsid w:val="006421FA"/>
    <w:rsid w:val="0064246A"/>
    <w:rsid w:val="00642B27"/>
    <w:rsid w:val="00642CB6"/>
    <w:rsid w:val="00643226"/>
    <w:rsid w:val="0064326B"/>
    <w:rsid w:val="00643A2A"/>
    <w:rsid w:val="00643B93"/>
    <w:rsid w:val="0064408B"/>
    <w:rsid w:val="006443F0"/>
    <w:rsid w:val="00644694"/>
    <w:rsid w:val="00644A61"/>
    <w:rsid w:val="00645196"/>
    <w:rsid w:val="00645302"/>
    <w:rsid w:val="006453AB"/>
    <w:rsid w:val="00645567"/>
    <w:rsid w:val="00645694"/>
    <w:rsid w:val="00645922"/>
    <w:rsid w:val="00645A0B"/>
    <w:rsid w:val="00645C97"/>
    <w:rsid w:val="00646102"/>
    <w:rsid w:val="006464D3"/>
    <w:rsid w:val="0064686B"/>
    <w:rsid w:val="006470FA"/>
    <w:rsid w:val="00647273"/>
    <w:rsid w:val="00647632"/>
    <w:rsid w:val="0064786D"/>
    <w:rsid w:val="00647B5D"/>
    <w:rsid w:val="00647BCB"/>
    <w:rsid w:val="00647DCD"/>
    <w:rsid w:val="00650541"/>
    <w:rsid w:val="00650AB1"/>
    <w:rsid w:val="00650DF5"/>
    <w:rsid w:val="00650E1A"/>
    <w:rsid w:val="006512DA"/>
    <w:rsid w:val="006520E3"/>
    <w:rsid w:val="006521F4"/>
    <w:rsid w:val="00652710"/>
    <w:rsid w:val="00652F24"/>
    <w:rsid w:val="00653337"/>
    <w:rsid w:val="0065369D"/>
    <w:rsid w:val="006537C1"/>
    <w:rsid w:val="00653817"/>
    <w:rsid w:val="00654130"/>
    <w:rsid w:val="006541F9"/>
    <w:rsid w:val="00654763"/>
    <w:rsid w:val="00654903"/>
    <w:rsid w:val="00654D00"/>
    <w:rsid w:val="006554AC"/>
    <w:rsid w:val="00655801"/>
    <w:rsid w:val="00655818"/>
    <w:rsid w:val="00655D36"/>
    <w:rsid w:val="00655ED1"/>
    <w:rsid w:val="00655F13"/>
    <w:rsid w:val="006561A0"/>
    <w:rsid w:val="00656A8F"/>
    <w:rsid w:val="006572A1"/>
    <w:rsid w:val="00657843"/>
    <w:rsid w:val="00657871"/>
    <w:rsid w:val="00657F01"/>
    <w:rsid w:val="00660D25"/>
    <w:rsid w:val="00660DCE"/>
    <w:rsid w:val="00661003"/>
    <w:rsid w:val="006610A5"/>
    <w:rsid w:val="006611BD"/>
    <w:rsid w:val="006615DA"/>
    <w:rsid w:val="00661813"/>
    <w:rsid w:val="00661B59"/>
    <w:rsid w:val="00661CD6"/>
    <w:rsid w:val="0066209F"/>
    <w:rsid w:val="006622D9"/>
    <w:rsid w:val="0066262C"/>
    <w:rsid w:val="0066280D"/>
    <w:rsid w:val="00662CCE"/>
    <w:rsid w:val="00662E3A"/>
    <w:rsid w:val="006633E6"/>
    <w:rsid w:val="006635F3"/>
    <w:rsid w:val="006637D6"/>
    <w:rsid w:val="006638B8"/>
    <w:rsid w:val="00663A59"/>
    <w:rsid w:val="00663ACF"/>
    <w:rsid w:val="00663C37"/>
    <w:rsid w:val="00663CDF"/>
    <w:rsid w:val="00663DB4"/>
    <w:rsid w:val="00664028"/>
    <w:rsid w:val="00664270"/>
    <w:rsid w:val="006646E5"/>
    <w:rsid w:val="00664792"/>
    <w:rsid w:val="006647FF"/>
    <w:rsid w:val="00664898"/>
    <w:rsid w:val="006649DA"/>
    <w:rsid w:val="00664D8A"/>
    <w:rsid w:val="00664FD2"/>
    <w:rsid w:val="0066500F"/>
    <w:rsid w:val="00665110"/>
    <w:rsid w:val="00665584"/>
    <w:rsid w:val="00665DFA"/>
    <w:rsid w:val="00665F28"/>
    <w:rsid w:val="00666395"/>
    <w:rsid w:val="00666452"/>
    <w:rsid w:val="00666AAC"/>
    <w:rsid w:val="006673BC"/>
    <w:rsid w:val="006673D0"/>
    <w:rsid w:val="0066766E"/>
    <w:rsid w:val="006679A8"/>
    <w:rsid w:val="00667A69"/>
    <w:rsid w:val="00667DF5"/>
    <w:rsid w:val="00670723"/>
    <w:rsid w:val="0067080D"/>
    <w:rsid w:val="006709D6"/>
    <w:rsid w:val="00670C28"/>
    <w:rsid w:val="00670EA1"/>
    <w:rsid w:val="006713B6"/>
    <w:rsid w:val="0067145C"/>
    <w:rsid w:val="0067186B"/>
    <w:rsid w:val="0067191B"/>
    <w:rsid w:val="00671E87"/>
    <w:rsid w:val="006721C9"/>
    <w:rsid w:val="006721D9"/>
    <w:rsid w:val="006724A6"/>
    <w:rsid w:val="006727CF"/>
    <w:rsid w:val="00672825"/>
    <w:rsid w:val="00672877"/>
    <w:rsid w:val="00672D7B"/>
    <w:rsid w:val="00673135"/>
    <w:rsid w:val="00673154"/>
    <w:rsid w:val="0067338D"/>
    <w:rsid w:val="00673405"/>
    <w:rsid w:val="0067377A"/>
    <w:rsid w:val="00674415"/>
    <w:rsid w:val="00674505"/>
    <w:rsid w:val="0067464D"/>
    <w:rsid w:val="00674729"/>
    <w:rsid w:val="00674A64"/>
    <w:rsid w:val="00674F09"/>
    <w:rsid w:val="00674F3F"/>
    <w:rsid w:val="0067568C"/>
    <w:rsid w:val="0067603C"/>
    <w:rsid w:val="006764F5"/>
    <w:rsid w:val="00676638"/>
    <w:rsid w:val="00676F65"/>
    <w:rsid w:val="00677058"/>
    <w:rsid w:val="006776A3"/>
    <w:rsid w:val="00677B31"/>
    <w:rsid w:val="00677CDC"/>
    <w:rsid w:val="00680132"/>
    <w:rsid w:val="006805DD"/>
    <w:rsid w:val="006805F3"/>
    <w:rsid w:val="006808AA"/>
    <w:rsid w:val="00680D9C"/>
    <w:rsid w:val="00680F0B"/>
    <w:rsid w:val="0068113D"/>
    <w:rsid w:val="006816AC"/>
    <w:rsid w:val="006818D1"/>
    <w:rsid w:val="00681912"/>
    <w:rsid w:val="006819EE"/>
    <w:rsid w:val="00681D4C"/>
    <w:rsid w:val="00681F26"/>
    <w:rsid w:val="00682221"/>
    <w:rsid w:val="00682223"/>
    <w:rsid w:val="0068289F"/>
    <w:rsid w:val="006828CE"/>
    <w:rsid w:val="00682B9F"/>
    <w:rsid w:val="00682C84"/>
    <w:rsid w:val="006832BA"/>
    <w:rsid w:val="0068331A"/>
    <w:rsid w:val="00683403"/>
    <w:rsid w:val="006836B4"/>
    <w:rsid w:val="006838E0"/>
    <w:rsid w:val="00683E00"/>
    <w:rsid w:val="00683FE2"/>
    <w:rsid w:val="00684192"/>
    <w:rsid w:val="006844E1"/>
    <w:rsid w:val="00684882"/>
    <w:rsid w:val="0068490B"/>
    <w:rsid w:val="00684FCC"/>
    <w:rsid w:val="006855B8"/>
    <w:rsid w:val="0068587F"/>
    <w:rsid w:val="00685C7B"/>
    <w:rsid w:val="006864C4"/>
    <w:rsid w:val="00686724"/>
    <w:rsid w:val="00686D84"/>
    <w:rsid w:val="00686EBD"/>
    <w:rsid w:val="00687CE4"/>
    <w:rsid w:val="00687EB4"/>
    <w:rsid w:val="00687F3D"/>
    <w:rsid w:val="006904CC"/>
    <w:rsid w:val="00691096"/>
    <w:rsid w:val="00691169"/>
    <w:rsid w:val="006911C3"/>
    <w:rsid w:val="00691360"/>
    <w:rsid w:val="00691421"/>
    <w:rsid w:val="0069179A"/>
    <w:rsid w:val="006918D5"/>
    <w:rsid w:val="00691AB7"/>
    <w:rsid w:val="00692CED"/>
    <w:rsid w:val="00693B25"/>
    <w:rsid w:val="00693BE9"/>
    <w:rsid w:val="00693D76"/>
    <w:rsid w:val="00693F92"/>
    <w:rsid w:val="00694051"/>
    <w:rsid w:val="0069498C"/>
    <w:rsid w:val="006949EE"/>
    <w:rsid w:val="00694ADD"/>
    <w:rsid w:val="00695114"/>
    <w:rsid w:val="0069530C"/>
    <w:rsid w:val="006953D0"/>
    <w:rsid w:val="0069545F"/>
    <w:rsid w:val="006957D9"/>
    <w:rsid w:val="00695939"/>
    <w:rsid w:val="00695B1B"/>
    <w:rsid w:val="00695E3F"/>
    <w:rsid w:val="006960FA"/>
    <w:rsid w:val="006963E5"/>
    <w:rsid w:val="00696413"/>
    <w:rsid w:val="006965B7"/>
    <w:rsid w:val="00696994"/>
    <w:rsid w:val="006971CD"/>
    <w:rsid w:val="006975AF"/>
    <w:rsid w:val="00697ABA"/>
    <w:rsid w:val="00697B5F"/>
    <w:rsid w:val="00697E73"/>
    <w:rsid w:val="006A0035"/>
    <w:rsid w:val="006A00CD"/>
    <w:rsid w:val="006A00FF"/>
    <w:rsid w:val="006A0571"/>
    <w:rsid w:val="006A0B97"/>
    <w:rsid w:val="006A1129"/>
    <w:rsid w:val="006A1169"/>
    <w:rsid w:val="006A11C3"/>
    <w:rsid w:val="006A148E"/>
    <w:rsid w:val="006A1DD5"/>
    <w:rsid w:val="006A20BB"/>
    <w:rsid w:val="006A212D"/>
    <w:rsid w:val="006A2858"/>
    <w:rsid w:val="006A2A82"/>
    <w:rsid w:val="006A35B8"/>
    <w:rsid w:val="006A35FE"/>
    <w:rsid w:val="006A3964"/>
    <w:rsid w:val="006A3A77"/>
    <w:rsid w:val="006A3C51"/>
    <w:rsid w:val="006A3D01"/>
    <w:rsid w:val="006A3D7A"/>
    <w:rsid w:val="006A4BE2"/>
    <w:rsid w:val="006A4CD3"/>
    <w:rsid w:val="006A4D12"/>
    <w:rsid w:val="006A4ED2"/>
    <w:rsid w:val="006A5459"/>
    <w:rsid w:val="006A5570"/>
    <w:rsid w:val="006A593A"/>
    <w:rsid w:val="006A5C77"/>
    <w:rsid w:val="006A6645"/>
    <w:rsid w:val="006A6768"/>
    <w:rsid w:val="006A699E"/>
    <w:rsid w:val="006A6C59"/>
    <w:rsid w:val="006A7004"/>
    <w:rsid w:val="006A705B"/>
    <w:rsid w:val="006A76C9"/>
    <w:rsid w:val="006A7BD0"/>
    <w:rsid w:val="006A7CA7"/>
    <w:rsid w:val="006A7DD7"/>
    <w:rsid w:val="006B024D"/>
    <w:rsid w:val="006B0530"/>
    <w:rsid w:val="006B093A"/>
    <w:rsid w:val="006B0A84"/>
    <w:rsid w:val="006B0C16"/>
    <w:rsid w:val="006B0E4E"/>
    <w:rsid w:val="006B0F10"/>
    <w:rsid w:val="006B1079"/>
    <w:rsid w:val="006B130D"/>
    <w:rsid w:val="006B13B8"/>
    <w:rsid w:val="006B15F7"/>
    <w:rsid w:val="006B17F6"/>
    <w:rsid w:val="006B1BCD"/>
    <w:rsid w:val="006B1CAA"/>
    <w:rsid w:val="006B2805"/>
    <w:rsid w:val="006B2894"/>
    <w:rsid w:val="006B2AB1"/>
    <w:rsid w:val="006B2C12"/>
    <w:rsid w:val="006B2DD7"/>
    <w:rsid w:val="006B2DDD"/>
    <w:rsid w:val="006B3247"/>
    <w:rsid w:val="006B358F"/>
    <w:rsid w:val="006B360E"/>
    <w:rsid w:val="006B3891"/>
    <w:rsid w:val="006B39AC"/>
    <w:rsid w:val="006B3BB1"/>
    <w:rsid w:val="006B3EB0"/>
    <w:rsid w:val="006B3FA0"/>
    <w:rsid w:val="006B3FC6"/>
    <w:rsid w:val="006B4182"/>
    <w:rsid w:val="006B451F"/>
    <w:rsid w:val="006B4DC6"/>
    <w:rsid w:val="006B4E72"/>
    <w:rsid w:val="006B516A"/>
    <w:rsid w:val="006B5561"/>
    <w:rsid w:val="006B5838"/>
    <w:rsid w:val="006B5912"/>
    <w:rsid w:val="006B597C"/>
    <w:rsid w:val="006B5DF9"/>
    <w:rsid w:val="006B5F0B"/>
    <w:rsid w:val="006B656B"/>
    <w:rsid w:val="006B6A21"/>
    <w:rsid w:val="006B6B91"/>
    <w:rsid w:val="006B6D03"/>
    <w:rsid w:val="006B6DCD"/>
    <w:rsid w:val="006B6E82"/>
    <w:rsid w:val="006B7303"/>
    <w:rsid w:val="006B7751"/>
    <w:rsid w:val="006B7BF2"/>
    <w:rsid w:val="006B7D56"/>
    <w:rsid w:val="006C0525"/>
    <w:rsid w:val="006C09E3"/>
    <w:rsid w:val="006C1343"/>
    <w:rsid w:val="006C1457"/>
    <w:rsid w:val="006C168D"/>
    <w:rsid w:val="006C1B5D"/>
    <w:rsid w:val="006C1D91"/>
    <w:rsid w:val="006C1DFF"/>
    <w:rsid w:val="006C2151"/>
    <w:rsid w:val="006C25BC"/>
    <w:rsid w:val="006C2755"/>
    <w:rsid w:val="006C2C90"/>
    <w:rsid w:val="006C2D51"/>
    <w:rsid w:val="006C3008"/>
    <w:rsid w:val="006C35F8"/>
    <w:rsid w:val="006C3745"/>
    <w:rsid w:val="006C3A7C"/>
    <w:rsid w:val="006C3E45"/>
    <w:rsid w:val="006C3F67"/>
    <w:rsid w:val="006C4208"/>
    <w:rsid w:val="006C4260"/>
    <w:rsid w:val="006C4B66"/>
    <w:rsid w:val="006C4D00"/>
    <w:rsid w:val="006C4EBC"/>
    <w:rsid w:val="006C50B1"/>
    <w:rsid w:val="006C564E"/>
    <w:rsid w:val="006C599F"/>
    <w:rsid w:val="006C5A2C"/>
    <w:rsid w:val="006C5F07"/>
    <w:rsid w:val="006C64D3"/>
    <w:rsid w:val="006C66F9"/>
    <w:rsid w:val="006C674A"/>
    <w:rsid w:val="006C6AB8"/>
    <w:rsid w:val="006C6C34"/>
    <w:rsid w:val="006C70C3"/>
    <w:rsid w:val="006C720A"/>
    <w:rsid w:val="006C7348"/>
    <w:rsid w:val="006C7588"/>
    <w:rsid w:val="006C7631"/>
    <w:rsid w:val="006C77D5"/>
    <w:rsid w:val="006C7D54"/>
    <w:rsid w:val="006C7EAB"/>
    <w:rsid w:val="006D07A7"/>
    <w:rsid w:val="006D0951"/>
    <w:rsid w:val="006D0B11"/>
    <w:rsid w:val="006D0B60"/>
    <w:rsid w:val="006D0F7D"/>
    <w:rsid w:val="006D122A"/>
    <w:rsid w:val="006D13BC"/>
    <w:rsid w:val="006D2399"/>
    <w:rsid w:val="006D2667"/>
    <w:rsid w:val="006D2C02"/>
    <w:rsid w:val="006D2CE1"/>
    <w:rsid w:val="006D2D95"/>
    <w:rsid w:val="006D2F4F"/>
    <w:rsid w:val="006D2F8C"/>
    <w:rsid w:val="006D350C"/>
    <w:rsid w:val="006D375D"/>
    <w:rsid w:val="006D3CF7"/>
    <w:rsid w:val="006D3D69"/>
    <w:rsid w:val="006D3E64"/>
    <w:rsid w:val="006D42DA"/>
    <w:rsid w:val="006D45AF"/>
    <w:rsid w:val="006D46F9"/>
    <w:rsid w:val="006D5005"/>
    <w:rsid w:val="006D50E6"/>
    <w:rsid w:val="006D5128"/>
    <w:rsid w:val="006D52D9"/>
    <w:rsid w:val="006D5412"/>
    <w:rsid w:val="006D6247"/>
    <w:rsid w:val="006D63F2"/>
    <w:rsid w:val="006D653F"/>
    <w:rsid w:val="006D68CE"/>
    <w:rsid w:val="006D6E7D"/>
    <w:rsid w:val="006D75B0"/>
    <w:rsid w:val="006D77B7"/>
    <w:rsid w:val="006D77DD"/>
    <w:rsid w:val="006D7982"/>
    <w:rsid w:val="006D7B5E"/>
    <w:rsid w:val="006D7CDD"/>
    <w:rsid w:val="006D7D06"/>
    <w:rsid w:val="006D7E0C"/>
    <w:rsid w:val="006D7EC1"/>
    <w:rsid w:val="006E0340"/>
    <w:rsid w:val="006E05E5"/>
    <w:rsid w:val="006E0D33"/>
    <w:rsid w:val="006E0D74"/>
    <w:rsid w:val="006E0EF9"/>
    <w:rsid w:val="006E106B"/>
    <w:rsid w:val="006E11A9"/>
    <w:rsid w:val="006E1231"/>
    <w:rsid w:val="006E14AC"/>
    <w:rsid w:val="006E1BDD"/>
    <w:rsid w:val="006E1E41"/>
    <w:rsid w:val="006E1E67"/>
    <w:rsid w:val="006E1F07"/>
    <w:rsid w:val="006E26E2"/>
    <w:rsid w:val="006E2A4D"/>
    <w:rsid w:val="006E2BE6"/>
    <w:rsid w:val="006E2E9F"/>
    <w:rsid w:val="006E2FFB"/>
    <w:rsid w:val="006E334E"/>
    <w:rsid w:val="006E33A5"/>
    <w:rsid w:val="006E3577"/>
    <w:rsid w:val="006E3648"/>
    <w:rsid w:val="006E3CBE"/>
    <w:rsid w:val="006E3FBD"/>
    <w:rsid w:val="006E443B"/>
    <w:rsid w:val="006E46B7"/>
    <w:rsid w:val="006E49F5"/>
    <w:rsid w:val="006E4B7E"/>
    <w:rsid w:val="006E5173"/>
    <w:rsid w:val="006E522F"/>
    <w:rsid w:val="006E5231"/>
    <w:rsid w:val="006E534C"/>
    <w:rsid w:val="006E5865"/>
    <w:rsid w:val="006E59A4"/>
    <w:rsid w:val="006E5EFB"/>
    <w:rsid w:val="006E612E"/>
    <w:rsid w:val="006E61B9"/>
    <w:rsid w:val="006E6780"/>
    <w:rsid w:val="006E68CB"/>
    <w:rsid w:val="006E69FD"/>
    <w:rsid w:val="006E6CFD"/>
    <w:rsid w:val="006E6E4B"/>
    <w:rsid w:val="006E70AA"/>
    <w:rsid w:val="006E716B"/>
    <w:rsid w:val="006E748A"/>
    <w:rsid w:val="006E7763"/>
    <w:rsid w:val="006F01B7"/>
    <w:rsid w:val="006F0424"/>
    <w:rsid w:val="006F0677"/>
    <w:rsid w:val="006F0B1D"/>
    <w:rsid w:val="006F0F8D"/>
    <w:rsid w:val="006F12E5"/>
    <w:rsid w:val="006F1307"/>
    <w:rsid w:val="006F1889"/>
    <w:rsid w:val="006F23F8"/>
    <w:rsid w:val="006F27ED"/>
    <w:rsid w:val="006F2818"/>
    <w:rsid w:val="006F28B2"/>
    <w:rsid w:val="006F2C17"/>
    <w:rsid w:val="006F3939"/>
    <w:rsid w:val="006F39A3"/>
    <w:rsid w:val="006F3F5D"/>
    <w:rsid w:val="006F4387"/>
    <w:rsid w:val="006F438E"/>
    <w:rsid w:val="006F43FB"/>
    <w:rsid w:val="006F492E"/>
    <w:rsid w:val="006F4CD1"/>
    <w:rsid w:val="006F4E02"/>
    <w:rsid w:val="006F4EF6"/>
    <w:rsid w:val="006F5592"/>
    <w:rsid w:val="006F5D7F"/>
    <w:rsid w:val="006F5E2C"/>
    <w:rsid w:val="006F61E2"/>
    <w:rsid w:val="006F6220"/>
    <w:rsid w:val="006F638C"/>
    <w:rsid w:val="006F639D"/>
    <w:rsid w:val="006F666F"/>
    <w:rsid w:val="006F6B14"/>
    <w:rsid w:val="006F6C78"/>
    <w:rsid w:val="006F6EBA"/>
    <w:rsid w:val="006F70DE"/>
    <w:rsid w:val="006F711C"/>
    <w:rsid w:val="006F71EB"/>
    <w:rsid w:val="006F7545"/>
    <w:rsid w:val="006F7639"/>
    <w:rsid w:val="006F7696"/>
    <w:rsid w:val="006F789A"/>
    <w:rsid w:val="006F78BC"/>
    <w:rsid w:val="006F7CFD"/>
    <w:rsid w:val="006F7D8B"/>
    <w:rsid w:val="007004F2"/>
    <w:rsid w:val="00700B94"/>
    <w:rsid w:val="00700EB9"/>
    <w:rsid w:val="00701126"/>
    <w:rsid w:val="007015CD"/>
    <w:rsid w:val="0070180C"/>
    <w:rsid w:val="00701A4C"/>
    <w:rsid w:val="007021DF"/>
    <w:rsid w:val="007022F6"/>
    <w:rsid w:val="007023B0"/>
    <w:rsid w:val="00702A37"/>
    <w:rsid w:val="00702C5C"/>
    <w:rsid w:val="00703160"/>
    <w:rsid w:val="0070329C"/>
    <w:rsid w:val="00703445"/>
    <w:rsid w:val="00703F1E"/>
    <w:rsid w:val="00703FC7"/>
    <w:rsid w:val="007042E0"/>
    <w:rsid w:val="0070441F"/>
    <w:rsid w:val="007045E3"/>
    <w:rsid w:val="00704737"/>
    <w:rsid w:val="00704878"/>
    <w:rsid w:val="00704908"/>
    <w:rsid w:val="00704D0E"/>
    <w:rsid w:val="00704E81"/>
    <w:rsid w:val="00705031"/>
    <w:rsid w:val="007057D9"/>
    <w:rsid w:val="007059F6"/>
    <w:rsid w:val="00705ACD"/>
    <w:rsid w:val="00705B57"/>
    <w:rsid w:val="00705CFC"/>
    <w:rsid w:val="007072C2"/>
    <w:rsid w:val="007076F4"/>
    <w:rsid w:val="00707999"/>
    <w:rsid w:val="00710534"/>
    <w:rsid w:val="00710B69"/>
    <w:rsid w:val="00710D32"/>
    <w:rsid w:val="00710D5E"/>
    <w:rsid w:val="00710D98"/>
    <w:rsid w:val="00711118"/>
    <w:rsid w:val="00711847"/>
    <w:rsid w:val="00711F72"/>
    <w:rsid w:val="0071263E"/>
    <w:rsid w:val="00712FEF"/>
    <w:rsid w:val="00713159"/>
    <w:rsid w:val="007135A9"/>
    <w:rsid w:val="00713ADA"/>
    <w:rsid w:val="00713B17"/>
    <w:rsid w:val="00713CB3"/>
    <w:rsid w:val="00713E28"/>
    <w:rsid w:val="0071408A"/>
    <w:rsid w:val="0071423C"/>
    <w:rsid w:val="007143D8"/>
    <w:rsid w:val="007145C4"/>
    <w:rsid w:val="00714F91"/>
    <w:rsid w:val="0071502F"/>
    <w:rsid w:val="007150DD"/>
    <w:rsid w:val="00715AF5"/>
    <w:rsid w:val="00715BCB"/>
    <w:rsid w:val="00715C36"/>
    <w:rsid w:val="00715CFE"/>
    <w:rsid w:val="00715DC4"/>
    <w:rsid w:val="00715E0D"/>
    <w:rsid w:val="00715F7D"/>
    <w:rsid w:val="0071625F"/>
    <w:rsid w:val="00716D28"/>
    <w:rsid w:val="007173E0"/>
    <w:rsid w:val="00717540"/>
    <w:rsid w:val="007176CB"/>
    <w:rsid w:val="007178C1"/>
    <w:rsid w:val="0071796C"/>
    <w:rsid w:val="007179A4"/>
    <w:rsid w:val="00717B05"/>
    <w:rsid w:val="00717C2A"/>
    <w:rsid w:val="0072008F"/>
    <w:rsid w:val="0072073C"/>
    <w:rsid w:val="0072091D"/>
    <w:rsid w:val="00720C09"/>
    <w:rsid w:val="00720C61"/>
    <w:rsid w:val="00720FD1"/>
    <w:rsid w:val="00721D7C"/>
    <w:rsid w:val="00721F0F"/>
    <w:rsid w:val="0072233A"/>
    <w:rsid w:val="007228A8"/>
    <w:rsid w:val="007228DB"/>
    <w:rsid w:val="00722A4E"/>
    <w:rsid w:val="00722B0C"/>
    <w:rsid w:val="00722C71"/>
    <w:rsid w:val="00722DED"/>
    <w:rsid w:val="00722F6C"/>
    <w:rsid w:val="007237CA"/>
    <w:rsid w:val="007238F3"/>
    <w:rsid w:val="00724488"/>
    <w:rsid w:val="00725541"/>
    <w:rsid w:val="0072577A"/>
    <w:rsid w:val="00725854"/>
    <w:rsid w:val="00725DC8"/>
    <w:rsid w:val="00726421"/>
    <w:rsid w:val="007266C2"/>
    <w:rsid w:val="00726A43"/>
    <w:rsid w:val="00726C0C"/>
    <w:rsid w:val="00727379"/>
    <w:rsid w:val="007273F6"/>
    <w:rsid w:val="00727648"/>
    <w:rsid w:val="0072788E"/>
    <w:rsid w:val="00727942"/>
    <w:rsid w:val="00727A8A"/>
    <w:rsid w:val="00727C2B"/>
    <w:rsid w:val="00730795"/>
    <w:rsid w:val="007314FD"/>
    <w:rsid w:val="0073178D"/>
    <w:rsid w:val="007319BE"/>
    <w:rsid w:val="00731CE6"/>
    <w:rsid w:val="00731E47"/>
    <w:rsid w:val="00732084"/>
    <w:rsid w:val="00733057"/>
    <w:rsid w:val="00733BF1"/>
    <w:rsid w:val="00733D9A"/>
    <w:rsid w:val="00733E13"/>
    <w:rsid w:val="007340D3"/>
    <w:rsid w:val="00734252"/>
    <w:rsid w:val="007342FA"/>
    <w:rsid w:val="00734318"/>
    <w:rsid w:val="00734360"/>
    <w:rsid w:val="00734424"/>
    <w:rsid w:val="0073449B"/>
    <w:rsid w:val="0073463F"/>
    <w:rsid w:val="0073467B"/>
    <w:rsid w:val="00734B40"/>
    <w:rsid w:val="00734D19"/>
    <w:rsid w:val="00734E3A"/>
    <w:rsid w:val="007350A9"/>
    <w:rsid w:val="00735A0D"/>
    <w:rsid w:val="00735B1B"/>
    <w:rsid w:val="00735C73"/>
    <w:rsid w:val="00735F1B"/>
    <w:rsid w:val="007362CC"/>
    <w:rsid w:val="0073672B"/>
    <w:rsid w:val="00736769"/>
    <w:rsid w:val="007367ED"/>
    <w:rsid w:val="00736818"/>
    <w:rsid w:val="00736A33"/>
    <w:rsid w:val="00736B11"/>
    <w:rsid w:val="007371B3"/>
    <w:rsid w:val="00737A0C"/>
    <w:rsid w:val="00737A46"/>
    <w:rsid w:val="00740097"/>
    <w:rsid w:val="00740133"/>
    <w:rsid w:val="007401B9"/>
    <w:rsid w:val="00741052"/>
    <w:rsid w:val="00741170"/>
    <w:rsid w:val="007414FB"/>
    <w:rsid w:val="00741963"/>
    <w:rsid w:val="00741A9B"/>
    <w:rsid w:val="00741BEB"/>
    <w:rsid w:val="00741EFB"/>
    <w:rsid w:val="00742209"/>
    <w:rsid w:val="007422C8"/>
    <w:rsid w:val="00742494"/>
    <w:rsid w:val="00742810"/>
    <w:rsid w:val="00742A12"/>
    <w:rsid w:val="00742A67"/>
    <w:rsid w:val="00742DA2"/>
    <w:rsid w:val="00742E61"/>
    <w:rsid w:val="00742F8A"/>
    <w:rsid w:val="0074330C"/>
    <w:rsid w:val="007438B1"/>
    <w:rsid w:val="00743FF0"/>
    <w:rsid w:val="0074482B"/>
    <w:rsid w:val="00744CCD"/>
    <w:rsid w:val="00744E4A"/>
    <w:rsid w:val="007450F1"/>
    <w:rsid w:val="007450F2"/>
    <w:rsid w:val="007456CD"/>
    <w:rsid w:val="007464C4"/>
    <w:rsid w:val="0074667C"/>
    <w:rsid w:val="00746A76"/>
    <w:rsid w:val="00746D48"/>
    <w:rsid w:val="00746E27"/>
    <w:rsid w:val="0074708D"/>
    <w:rsid w:val="00747282"/>
    <w:rsid w:val="0074753F"/>
    <w:rsid w:val="00747838"/>
    <w:rsid w:val="00750113"/>
    <w:rsid w:val="007503B5"/>
    <w:rsid w:val="007505E0"/>
    <w:rsid w:val="00750CB1"/>
    <w:rsid w:val="00750D40"/>
    <w:rsid w:val="00750FFD"/>
    <w:rsid w:val="0075137A"/>
    <w:rsid w:val="00751EF3"/>
    <w:rsid w:val="00752085"/>
    <w:rsid w:val="00752D76"/>
    <w:rsid w:val="00753352"/>
    <w:rsid w:val="00753427"/>
    <w:rsid w:val="00753738"/>
    <w:rsid w:val="00754965"/>
    <w:rsid w:val="00754A63"/>
    <w:rsid w:val="00754DA7"/>
    <w:rsid w:val="0075521A"/>
    <w:rsid w:val="0075564C"/>
    <w:rsid w:val="007556CB"/>
    <w:rsid w:val="007558A6"/>
    <w:rsid w:val="0075597E"/>
    <w:rsid w:val="00755E6C"/>
    <w:rsid w:val="007560F8"/>
    <w:rsid w:val="007561AF"/>
    <w:rsid w:val="00756697"/>
    <w:rsid w:val="00757048"/>
    <w:rsid w:val="00757712"/>
    <w:rsid w:val="007578F0"/>
    <w:rsid w:val="00757F4E"/>
    <w:rsid w:val="00760488"/>
    <w:rsid w:val="00760529"/>
    <w:rsid w:val="0076058E"/>
    <w:rsid w:val="007605D5"/>
    <w:rsid w:val="00760F2B"/>
    <w:rsid w:val="00761456"/>
    <w:rsid w:val="007614CA"/>
    <w:rsid w:val="007615D0"/>
    <w:rsid w:val="00761734"/>
    <w:rsid w:val="00761CDA"/>
    <w:rsid w:val="00761D94"/>
    <w:rsid w:val="00762251"/>
    <w:rsid w:val="0076226E"/>
    <w:rsid w:val="00762355"/>
    <w:rsid w:val="007623B7"/>
    <w:rsid w:val="00762550"/>
    <w:rsid w:val="007625A4"/>
    <w:rsid w:val="00762837"/>
    <w:rsid w:val="007628B4"/>
    <w:rsid w:val="0076311D"/>
    <w:rsid w:val="00763378"/>
    <w:rsid w:val="00763881"/>
    <w:rsid w:val="007638E0"/>
    <w:rsid w:val="00763BDA"/>
    <w:rsid w:val="00763C73"/>
    <w:rsid w:val="00763FCB"/>
    <w:rsid w:val="00764053"/>
    <w:rsid w:val="0076428F"/>
    <w:rsid w:val="007642D3"/>
    <w:rsid w:val="007644EA"/>
    <w:rsid w:val="00764728"/>
    <w:rsid w:val="00764862"/>
    <w:rsid w:val="00764B35"/>
    <w:rsid w:val="00764D35"/>
    <w:rsid w:val="00764E85"/>
    <w:rsid w:val="00764EEF"/>
    <w:rsid w:val="00765095"/>
    <w:rsid w:val="007650B5"/>
    <w:rsid w:val="0076532F"/>
    <w:rsid w:val="007653DB"/>
    <w:rsid w:val="00765753"/>
    <w:rsid w:val="00765F57"/>
    <w:rsid w:val="007660D5"/>
    <w:rsid w:val="0076617A"/>
    <w:rsid w:val="007666CE"/>
    <w:rsid w:val="007667DD"/>
    <w:rsid w:val="00766B6F"/>
    <w:rsid w:val="00766D7F"/>
    <w:rsid w:val="00767011"/>
    <w:rsid w:val="0076724A"/>
    <w:rsid w:val="00767456"/>
    <w:rsid w:val="0076766E"/>
    <w:rsid w:val="007679D4"/>
    <w:rsid w:val="0077005D"/>
    <w:rsid w:val="0077038C"/>
    <w:rsid w:val="00770420"/>
    <w:rsid w:val="00770EF4"/>
    <w:rsid w:val="00770FE4"/>
    <w:rsid w:val="00771306"/>
    <w:rsid w:val="00771537"/>
    <w:rsid w:val="007719E1"/>
    <w:rsid w:val="00771CBC"/>
    <w:rsid w:val="00773563"/>
    <w:rsid w:val="007737E6"/>
    <w:rsid w:val="00773B1F"/>
    <w:rsid w:val="0077434C"/>
    <w:rsid w:val="007746C3"/>
    <w:rsid w:val="00774780"/>
    <w:rsid w:val="00774D47"/>
    <w:rsid w:val="0077535E"/>
    <w:rsid w:val="0077554F"/>
    <w:rsid w:val="0077594B"/>
    <w:rsid w:val="00775CC3"/>
    <w:rsid w:val="00775CC9"/>
    <w:rsid w:val="00776252"/>
    <w:rsid w:val="0077639F"/>
    <w:rsid w:val="00776EB2"/>
    <w:rsid w:val="00777988"/>
    <w:rsid w:val="007779AC"/>
    <w:rsid w:val="00780D6F"/>
    <w:rsid w:val="00780F95"/>
    <w:rsid w:val="0078166F"/>
    <w:rsid w:val="007816EE"/>
    <w:rsid w:val="0078185A"/>
    <w:rsid w:val="00781D01"/>
    <w:rsid w:val="00781ED6"/>
    <w:rsid w:val="0078207B"/>
    <w:rsid w:val="00782253"/>
    <w:rsid w:val="00782412"/>
    <w:rsid w:val="007824AD"/>
    <w:rsid w:val="0078268A"/>
    <w:rsid w:val="00782984"/>
    <w:rsid w:val="00782CAF"/>
    <w:rsid w:val="00782DD7"/>
    <w:rsid w:val="007832FD"/>
    <w:rsid w:val="00783AB4"/>
    <w:rsid w:val="00783E4F"/>
    <w:rsid w:val="00783EC7"/>
    <w:rsid w:val="0078402F"/>
    <w:rsid w:val="007840B3"/>
    <w:rsid w:val="00784E0D"/>
    <w:rsid w:val="00785038"/>
    <w:rsid w:val="00785B1E"/>
    <w:rsid w:val="00785C5D"/>
    <w:rsid w:val="00785C84"/>
    <w:rsid w:val="0078619D"/>
    <w:rsid w:val="00786466"/>
    <w:rsid w:val="00786E46"/>
    <w:rsid w:val="0078706B"/>
    <w:rsid w:val="0078761D"/>
    <w:rsid w:val="00787C88"/>
    <w:rsid w:val="00787D5E"/>
    <w:rsid w:val="00787EF5"/>
    <w:rsid w:val="00790143"/>
    <w:rsid w:val="0079070F"/>
    <w:rsid w:val="0079081D"/>
    <w:rsid w:val="007908C1"/>
    <w:rsid w:val="00790994"/>
    <w:rsid w:val="00790D05"/>
    <w:rsid w:val="007911EB"/>
    <w:rsid w:val="0079180E"/>
    <w:rsid w:val="007919CA"/>
    <w:rsid w:val="00791AA0"/>
    <w:rsid w:val="00791BDF"/>
    <w:rsid w:val="00792740"/>
    <w:rsid w:val="00792754"/>
    <w:rsid w:val="00792987"/>
    <w:rsid w:val="007929F8"/>
    <w:rsid w:val="00792F62"/>
    <w:rsid w:val="00793424"/>
    <w:rsid w:val="00793A69"/>
    <w:rsid w:val="00793A6E"/>
    <w:rsid w:val="007941E4"/>
    <w:rsid w:val="00794268"/>
    <w:rsid w:val="0079433A"/>
    <w:rsid w:val="007944FA"/>
    <w:rsid w:val="00794561"/>
    <w:rsid w:val="00794E75"/>
    <w:rsid w:val="00794FB9"/>
    <w:rsid w:val="00795560"/>
    <w:rsid w:val="00795CAA"/>
    <w:rsid w:val="00796011"/>
    <w:rsid w:val="007963CA"/>
    <w:rsid w:val="00796CC0"/>
    <w:rsid w:val="00796DAF"/>
    <w:rsid w:val="00796ECD"/>
    <w:rsid w:val="0079708D"/>
    <w:rsid w:val="0079712D"/>
    <w:rsid w:val="00797161"/>
    <w:rsid w:val="007971AD"/>
    <w:rsid w:val="0079745C"/>
    <w:rsid w:val="00797683"/>
    <w:rsid w:val="007977FA"/>
    <w:rsid w:val="00797C5C"/>
    <w:rsid w:val="007A00B3"/>
    <w:rsid w:val="007A00E1"/>
    <w:rsid w:val="007A0646"/>
    <w:rsid w:val="007A07C5"/>
    <w:rsid w:val="007A0957"/>
    <w:rsid w:val="007A0BFE"/>
    <w:rsid w:val="007A0CE9"/>
    <w:rsid w:val="007A0D1B"/>
    <w:rsid w:val="007A0DC0"/>
    <w:rsid w:val="007A130E"/>
    <w:rsid w:val="007A147E"/>
    <w:rsid w:val="007A187D"/>
    <w:rsid w:val="007A1B39"/>
    <w:rsid w:val="007A1C19"/>
    <w:rsid w:val="007A1C30"/>
    <w:rsid w:val="007A2080"/>
    <w:rsid w:val="007A2751"/>
    <w:rsid w:val="007A285B"/>
    <w:rsid w:val="007A285C"/>
    <w:rsid w:val="007A2891"/>
    <w:rsid w:val="007A2F71"/>
    <w:rsid w:val="007A3603"/>
    <w:rsid w:val="007A3A12"/>
    <w:rsid w:val="007A40F1"/>
    <w:rsid w:val="007A4511"/>
    <w:rsid w:val="007A465F"/>
    <w:rsid w:val="007A4A81"/>
    <w:rsid w:val="007A588B"/>
    <w:rsid w:val="007A5B87"/>
    <w:rsid w:val="007A6666"/>
    <w:rsid w:val="007A6932"/>
    <w:rsid w:val="007A698E"/>
    <w:rsid w:val="007A6A9F"/>
    <w:rsid w:val="007A6B9D"/>
    <w:rsid w:val="007A6DC0"/>
    <w:rsid w:val="007A6FA3"/>
    <w:rsid w:val="007A7081"/>
    <w:rsid w:val="007A753A"/>
    <w:rsid w:val="007A79AB"/>
    <w:rsid w:val="007A7B56"/>
    <w:rsid w:val="007A7E68"/>
    <w:rsid w:val="007B02B1"/>
    <w:rsid w:val="007B08E4"/>
    <w:rsid w:val="007B0941"/>
    <w:rsid w:val="007B0961"/>
    <w:rsid w:val="007B0B2A"/>
    <w:rsid w:val="007B15B4"/>
    <w:rsid w:val="007B18E0"/>
    <w:rsid w:val="007B1C18"/>
    <w:rsid w:val="007B1FEC"/>
    <w:rsid w:val="007B2172"/>
    <w:rsid w:val="007B21ED"/>
    <w:rsid w:val="007B22C8"/>
    <w:rsid w:val="007B2938"/>
    <w:rsid w:val="007B2BAA"/>
    <w:rsid w:val="007B2E82"/>
    <w:rsid w:val="007B2FB1"/>
    <w:rsid w:val="007B2FCE"/>
    <w:rsid w:val="007B36B7"/>
    <w:rsid w:val="007B3F86"/>
    <w:rsid w:val="007B42AB"/>
    <w:rsid w:val="007B518E"/>
    <w:rsid w:val="007B59C8"/>
    <w:rsid w:val="007B6822"/>
    <w:rsid w:val="007B6CD8"/>
    <w:rsid w:val="007B6E66"/>
    <w:rsid w:val="007B7177"/>
    <w:rsid w:val="007B7215"/>
    <w:rsid w:val="007B74DD"/>
    <w:rsid w:val="007B75F9"/>
    <w:rsid w:val="007B78C1"/>
    <w:rsid w:val="007C02D0"/>
    <w:rsid w:val="007C088A"/>
    <w:rsid w:val="007C09C2"/>
    <w:rsid w:val="007C0BBD"/>
    <w:rsid w:val="007C10BB"/>
    <w:rsid w:val="007C144C"/>
    <w:rsid w:val="007C15E8"/>
    <w:rsid w:val="007C1BB1"/>
    <w:rsid w:val="007C21ED"/>
    <w:rsid w:val="007C2835"/>
    <w:rsid w:val="007C28FE"/>
    <w:rsid w:val="007C2921"/>
    <w:rsid w:val="007C2934"/>
    <w:rsid w:val="007C2C53"/>
    <w:rsid w:val="007C2C93"/>
    <w:rsid w:val="007C2DA0"/>
    <w:rsid w:val="007C301D"/>
    <w:rsid w:val="007C4056"/>
    <w:rsid w:val="007C452D"/>
    <w:rsid w:val="007C4769"/>
    <w:rsid w:val="007C49DE"/>
    <w:rsid w:val="007C49FA"/>
    <w:rsid w:val="007C4A60"/>
    <w:rsid w:val="007C4ADB"/>
    <w:rsid w:val="007C4E75"/>
    <w:rsid w:val="007C4FFC"/>
    <w:rsid w:val="007C5076"/>
    <w:rsid w:val="007C54DE"/>
    <w:rsid w:val="007C5D70"/>
    <w:rsid w:val="007C5EAF"/>
    <w:rsid w:val="007C6150"/>
    <w:rsid w:val="007C6C4E"/>
    <w:rsid w:val="007C6D23"/>
    <w:rsid w:val="007C714A"/>
    <w:rsid w:val="007C7185"/>
    <w:rsid w:val="007C7351"/>
    <w:rsid w:val="007C744E"/>
    <w:rsid w:val="007C79AC"/>
    <w:rsid w:val="007C7F93"/>
    <w:rsid w:val="007D023F"/>
    <w:rsid w:val="007D042B"/>
    <w:rsid w:val="007D048B"/>
    <w:rsid w:val="007D0930"/>
    <w:rsid w:val="007D0AD6"/>
    <w:rsid w:val="007D0C68"/>
    <w:rsid w:val="007D0E9E"/>
    <w:rsid w:val="007D0F0E"/>
    <w:rsid w:val="007D1168"/>
    <w:rsid w:val="007D13C5"/>
    <w:rsid w:val="007D15A6"/>
    <w:rsid w:val="007D228F"/>
    <w:rsid w:val="007D266D"/>
    <w:rsid w:val="007D2776"/>
    <w:rsid w:val="007D2C94"/>
    <w:rsid w:val="007D2E4F"/>
    <w:rsid w:val="007D3091"/>
    <w:rsid w:val="007D35E4"/>
    <w:rsid w:val="007D36BE"/>
    <w:rsid w:val="007D36FA"/>
    <w:rsid w:val="007D3758"/>
    <w:rsid w:val="007D3DD6"/>
    <w:rsid w:val="007D4340"/>
    <w:rsid w:val="007D43F6"/>
    <w:rsid w:val="007D4534"/>
    <w:rsid w:val="007D45C9"/>
    <w:rsid w:val="007D472C"/>
    <w:rsid w:val="007D49A7"/>
    <w:rsid w:val="007D4A16"/>
    <w:rsid w:val="007D4C10"/>
    <w:rsid w:val="007D4E44"/>
    <w:rsid w:val="007D4F2D"/>
    <w:rsid w:val="007D4F4A"/>
    <w:rsid w:val="007D53A1"/>
    <w:rsid w:val="007D55EE"/>
    <w:rsid w:val="007D5650"/>
    <w:rsid w:val="007D5661"/>
    <w:rsid w:val="007D6130"/>
    <w:rsid w:val="007D63B6"/>
    <w:rsid w:val="007D683D"/>
    <w:rsid w:val="007D6ED4"/>
    <w:rsid w:val="007D733A"/>
    <w:rsid w:val="007D7584"/>
    <w:rsid w:val="007D79D7"/>
    <w:rsid w:val="007E0600"/>
    <w:rsid w:val="007E0680"/>
    <w:rsid w:val="007E0962"/>
    <w:rsid w:val="007E1277"/>
    <w:rsid w:val="007E133E"/>
    <w:rsid w:val="007E1387"/>
    <w:rsid w:val="007E1483"/>
    <w:rsid w:val="007E14A0"/>
    <w:rsid w:val="007E1A43"/>
    <w:rsid w:val="007E1C5B"/>
    <w:rsid w:val="007E1E15"/>
    <w:rsid w:val="007E1F87"/>
    <w:rsid w:val="007E2251"/>
    <w:rsid w:val="007E24B4"/>
    <w:rsid w:val="007E2F9E"/>
    <w:rsid w:val="007E32E4"/>
    <w:rsid w:val="007E3600"/>
    <w:rsid w:val="007E3651"/>
    <w:rsid w:val="007E3787"/>
    <w:rsid w:val="007E39C8"/>
    <w:rsid w:val="007E3A7F"/>
    <w:rsid w:val="007E3AAC"/>
    <w:rsid w:val="007E3D35"/>
    <w:rsid w:val="007E3D3A"/>
    <w:rsid w:val="007E414A"/>
    <w:rsid w:val="007E49AA"/>
    <w:rsid w:val="007E4AF6"/>
    <w:rsid w:val="007E4DD3"/>
    <w:rsid w:val="007E4F5B"/>
    <w:rsid w:val="007E552E"/>
    <w:rsid w:val="007E55B7"/>
    <w:rsid w:val="007E56CA"/>
    <w:rsid w:val="007E5738"/>
    <w:rsid w:val="007E60BA"/>
    <w:rsid w:val="007E63BD"/>
    <w:rsid w:val="007E63D8"/>
    <w:rsid w:val="007E641A"/>
    <w:rsid w:val="007E677C"/>
    <w:rsid w:val="007E67EA"/>
    <w:rsid w:val="007E6AB2"/>
    <w:rsid w:val="007E6AED"/>
    <w:rsid w:val="007E6C60"/>
    <w:rsid w:val="007E6D8A"/>
    <w:rsid w:val="007E6D8F"/>
    <w:rsid w:val="007E70C1"/>
    <w:rsid w:val="007F15FD"/>
    <w:rsid w:val="007F1792"/>
    <w:rsid w:val="007F2151"/>
    <w:rsid w:val="007F22A3"/>
    <w:rsid w:val="007F2573"/>
    <w:rsid w:val="007F2ADE"/>
    <w:rsid w:val="007F2C2B"/>
    <w:rsid w:val="007F3695"/>
    <w:rsid w:val="007F3A7F"/>
    <w:rsid w:val="007F3C4F"/>
    <w:rsid w:val="007F3D50"/>
    <w:rsid w:val="007F4474"/>
    <w:rsid w:val="007F474D"/>
    <w:rsid w:val="007F4862"/>
    <w:rsid w:val="007F5000"/>
    <w:rsid w:val="007F5617"/>
    <w:rsid w:val="007F5A01"/>
    <w:rsid w:val="007F6215"/>
    <w:rsid w:val="007F633B"/>
    <w:rsid w:val="007F68DA"/>
    <w:rsid w:val="007F68E8"/>
    <w:rsid w:val="007F69B7"/>
    <w:rsid w:val="007F69F2"/>
    <w:rsid w:val="007F6B89"/>
    <w:rsid w:val="007F6C96"/>
    <w:rsid w:val="007F722A"/>
    <w:rsid w:val="007F7261"/>
    <w:rsid w:val="00800176"/>
    <w:rsid w:val="008002C1"/>
    <w:rsid w:val="008003A2"/>
    <w:rsid w:val="0080060E"/>
    <w:rsid w:val="0080062D"/>
    <w:rsid w:val="008009A9"/>
    <w:rsid w:val="00800CAD"/>
    <w:rsid w:val="00800CE4"/>
    <w:rsid w:val="00800EE9"/>
    <w:rsid w:val="008011B2"/>
    <w:rsid w:val="0080128B"/>
    <w:rsid w:val="00801356"/>
    <w:rsid w:val="0080143D"/>
    <w:rsid w:val="0080147C"/>
    <w:rsid w:val="008019F8"/>
    <w:rsid w:val="00801C62"/>
    <w:rsid w:val="0080238A"/>
    <w:rsid w:val="00802765"/>
    <w:rsid w:val="00802879"/>
    <w:rsid w:val="00802946"/>
    <w:rsid w:val="008029C0"/>
    <w:rsid w:val="00802E7A"/>
    <w:rsid w:val="0080309C"/>
    <w:rsid w:val="008035CB"/>
    <w:rsid w:val="00803D35"/>
    <w:rsid w:val="00803DDA"/>
    <w:rsid w:val="008043EE"/>
    <w:rsid w:val="00804B66"/>
    <w:rsid w:val="00804C56"/>
    <w:rsid w:val="00804D3B"/>
    <w:rsid w:val="008050D3"/>
    <w:rsid w:val="00805167"/>
    <w:rsid w:val="0080549E"/>
    <w:rsid w:val="00805657"/>
    <w:rsid w:val="00805B1B"/>
    <w:rsid w:val="00805B31"/>
    <w:rsid w:val="00805F53"/>
    <w:rsid w:val="0080600F"/>
    <w:rsid w:val="0080633E"/>
    <w:rsid w:val="00806407"/>
    <w:rsid w:val="008066C3"/>
    <w:rsid w:val="00806AB8"/>
    <w:rsid w:val="00807190"/>
    <w:rsid w:val="008075E6"/>
    <w:rsid w:val="008077B7"/>
    <w:rsid w:val="00807934"/>
    <w:rsid w:val="00807A08"/>
    <w:rsid w:val="00807C69"/>
    <w:rsid w:val="008104CB"/>
    <w:rsid w:val="008105E6"/>
    <w:rsid w:val="00810F4B"/>
    <w:rsid w:val="008112A1"/>
    <w:rsid w:val="008117F1"/>
    <w:rsid w:val="00812231"/>
    <w:rsid w:val="00812631"/>
    <w:rsid w:val="00812DB9"/>
    <w:rsid w:val="00813527"/>
    <w:rsid w:val="00813648"/>
    <w:rsid w:val="00813CC4"/>
    <w:rsid w:val="00813CEA"/>
    <w:rsid w:val="0081427C"/>
    <w:rsid w:val="008146DD"/>
    <w:rsid w:val="00814736"/>
    <w:rsid w:val="00814738"/>
    <w:rsid w:val="00815087"/>
    <w:rsid w:val="008151BE"/>
    <w:rsid w:val="0081558D"/>
    <w:rsid w:val="008155A0"/>
    <w:rsid w:val="008159E6"/>
    <w:rsid w:val="00815DE7"/>
    <w:rsid w:val="008165B9"/>
    <w:rsid w:val="00816C26"/>
    <w:rsid w:val="00816C44"/>
    <w:rsid w:val="00816D38"/>
    <w:rsid w:val="00816FA7"/>
    <w:rsid w:val="00816FC1"/>
    <w:rsid w:val="0081715B"/>
    <w:rsid w:val="0081748A"/>
    <w:rsid w:val="00817793"/>
    <w:rsid w:val="00817902"/>
    <w:rsid w:val="00817A5C"/>
    <w:rsid w:val="00817A8D"/>
    <w:rsid w:val="00817BE5"/>
    <w:rsid w:val="00820195"/>
    <w:rsid w:val="0082052A"/>
    <w:rsid w:val="0082084C"/>
    <w:rsid w:val="008213E5"/>
    <w:rsid w:val="00821489"/>
    <w:rsid w:val="00821A3D"/>
    <w:rsid w:val="00822030"/>
    <w:rsid w:val="008221FA"/>
    <w:rsid w:val="00822497"/>
    <w:rsid w:val="0082291B"/>
    <w:rsid w:val="00822DEE"/>
    <w:rsid w:val="00823080"/>
    <w:rsid w:val="008233D3"/>
    <w:rsid w:val="00823C7A"/>
    <w:rsid w:val="00823C91"/>
    <w:rsid w:val="00823E3B"/>
    <w:rsid w:val="00823F21"/>
    <w:rsid w:val="008241D1"/>
    <w:rsid w:val="00824281"/>
    <w:rsid w:val="00824A45"/>
    <w:rsid w:val="00824C2A"/>
    <w:rsid w:val="00825263"/>
    <w:rsid w:val="0082530F"/>
    <w:rsid w:val="008257D2"/>
    <w:rsid w:val="00825EE9"/>
    <w:rsid w:val="0082606C"/>
    <w:rsid w:val="008260DF"/>
    <w:rsid w:val="008262AB"/>
    <w:rsid w:val="0082642A"/>
    <w:rsid w:val="008265EF"/>
    <w:rsid w:val="008267AD"/>
    <w:rsid w:val="008275CA"/>
    <w:rsid w:val="0082762C"/>
    <w:rsid w:val="00827658"/>
    <w:rsid w:val="0082785D"/>
    <w:rsid w:val="008278C5"/>
    <w:rsid w:val="00827959"/>
    <w:rsid w:val="00827A6D"/>
    <w:rsid w:val="00827B9B"/>
    <w:rsid w:val="00827CDF"/>
    <w:rsid w:val="00827D84"/>
    <w:rsid w:val="00827EC2"/>
    <w:rsid w:val="00827F1B"/>
    <w:rsid w:val="008301E1"/>
    <w:rsid w:val="008302A5"/>
    <w:rsid w:val="00830355"/>
    <w:rsid w:val="008303F0"/>
    <w:rsid w:val="0083042A"/>
    <w:rsid w:val="00830703"/>
    <w:rsid w:val="00830C50"/>
    <w:rsid w:val="00830D20"/>
    <w:rsid w:val="00831CB6"/>
    <w:rsid w:val="00832393"/>
    <w:rsid w:val="0083290D"/>
    <w:rsid w:val="00832C0F"/>
    <w:rsid w:val="00832F95"/>
    <w:rsid w:val="00833200"/>
    <w:rsid w:val="0083320D"/>
    <w:rsid w:val="00833342"/>
    <w:rsid w:val="00833366"/>
    <w:rsid w:val="008334F5"/>
    <w:rsid w:val="00833659"/>
    <w:rsid w:val="008339D8"/>
    <w:rsid w:val="00833B8C"/>
    <w:rsid w:val="00833C75"/>
    <w:rsid w:val="00833E8D"/>
    <w:rsid w:val="0083477D"/>
    <w:rsid w:val="0083482C"/>
    <w:rsid w:val="008348C0"/>
    <w:rsid w:val="00834972"/>
    <w:rsid w:val="00834B1B"/>
    <w:rsid w:val="00834F70"/>
    <w:rsid w:val="00834FB4"/>
    <w:rsid w:val="0083573B"/>
    <w:rsid w:val="008357AE"/>
    <w:rsid w:val="008358A3"/>
    <w:rsid w:val="008361A9"/>
    <w:rsid w:val="0083648E"/>
    <w:rsid w:val="0083675B"/>
    <w:rsid w:val="00836EAE"/>
    <w:rsid w:val="0083793D"/>
    <w:rsid w:val="00837B77"/>
    <w:rsid w:val="00837DC3"/>
    <w:rsid w:val="00837FE4"/>
    <w:rsid w:val="00837FF7"/>
    <w:rsid w:val="0084006D"/>
    <w:rsid w:val="008405AF"/>
    <w:rsid w:val="0084093B"/>
    <w:rsid w:val="00840A06"/>
    <w:rsid w:val="00840AC8"/>
    <w:rsid w:val="0084136B"/>
    <w:rsid w:val="00841463"/>
    <w:rsid w:val="008415CB"/>
    <w:rsid w:val="008416E8"/>
    <w:rsid w:val="00841705"/>
    <w:rsid w:val="00841D13"/>
    <w:rsid w:val="00841F9A"/>
    <w:rsid w:val="0084273C"/>
    <w:rsid w:val="008427F2"/>
    <w:rsid w:val="00842CEF"/>
    <w:rsid w:val="0084356E"/>
    <w:rsid w:val="008436EA"/>
    <w:rsid w:val="0084382A"/>
    <w:rsid w:val="008438B3"/>
    <w:rsid w:val="00843A9B"/>
    <w:rsid w:val="00843BE2"/>
    <w:rsid w:val="00843EEB"/>
    <w:rsid w:val="008444B8"/>
    <w:rsid w:val="008445CA"/>
    <w:rsid w:val="00844853"/>
    <w:rsid w:val="00844A0A"/>
    <w:rsid w:val="00844E58"/>
    <w:rsid w:val="008450B6"/>
    <w:rsid w:val="0084547A"/>
    <w:rsid w:val="00845666"/>
    <w:rsid w:val="00845C47"/>
    <w:rsid w:val="008465F3"/>
    <w:rsid w:val="008466F0"/>
    <w:rsid w:val="008467AC"/>
    <w:rsid w:val="0084731D"/>
    <w:rsid w:val="0084790A"/>
    <w:rsid w:val="00847BF2"/>
    <w:rsid w:val="008501AF"/>
    <w:rsid w:val="008512E5"/>
    <w:rsid w:val="00851338"/>
    <w:rsid w:val="008517B9"/>
    <w:rsid w:val="0085188F"/>
    <w:rsid w:val="008521A3"/>
    <w:rsid w:val="008523EB"/>
    <w:rsid w:val="00852941"/>
    <w:rsid w:val="00852A29"/>
    <w:rsid w:val="00852EFF"/>
    <w:rsid w:val="008535DB"/>
    <w:rsid w:val="0085376F"/>
    <w:rsid w:val="00853FE2"/>
    <w:rsid w:val="00854271"/>
    <w:rsid w:val="00854274"/>
    <w:rsid w:val="00854422"/>
    <w:rsid w:val="0085450A"/>
    <w:rsid w:val="00854678"/>
    <w:rsid w:val="00854735"/>
    <w:rsid w:val="00854BDA"/>
    <w:rsid w:val="00854C54"/>
    <w:rsid w:val="008551F1"/>
    <w:rsid w:val="0085545E"/>
    <w:rsid w:val="00855663"/>
    <w:rsid w:val="00855694"/>
    <w:rsid w:val="008559C8"/>
    <w:rsid w:val="00855ACB"/>
    <w:rsid w:val="00856155"/>
    <w:rsid w:val="00856399"/>
    <w:rsid w:val="008563C1"/>
    <w:rsid w:val="00856562"/>
    <w:rsid w:val="00856987"/>
    <w:rsid w:val="00856EB9"/>
    <w:rsid w:val="008573E4"/>
    <w:rsid w:val="00857E58"/>
    <w:rsid w:val="008606E0"/>
    <w:rsid w:val="0086073E"/>
    <w:rsid w:val="008607CD"/>
    <w:rsid w:val="00860CFE"/>
    <w:rsid w:val="00861225"/>
    <w:rsid w:val="0086187A"/>
    <w:rsid w:val="00861F71"/>
    <w:rsid w:val="00862303"/>
    <w:rsid w:val="00862818"/>
    <w:rsid w:val="00862A5D"/>
    <w:rsid w:val="00862B6B"/>
    <w:rsid w:val="00862CE7"/>
    <w:rsid w:val="00862D8C"/>
    <w:rsid w:val="00862FA3"/>
    <w:rsid w:val="00862FE7"/>
    <w:rsid w:val="0086323B"/>
    <w:rsid w:val="00863566"/>
    <w:rsid w:val="0086360E"/>
    <w:rsid w:val="0086381C"/>
    <w:rsid w:val="00863A88"/>
    <w:rsid w:val="00863D54"/>
    <w:rsid w:val="00863E81"/>
    <w:rsid w:val="00863EC4"/>
    <w:rsid w:val="00863F01"/>
    <w:rsid w:val="00864116"/>
    <w:rsid w:val="008644E2"/>
    <w:rsid w:val="00864A29"/>
    <w:rsid w:val="00864BBB"/>
    <w:rsid w:val="00864DF5"/>
    <w:rsid w:val="00864F6F"/>
    <w:rsid w:val="0086507F"/>
    <w:rsid w:val="008653B8"/>
    <w:rsid w:val="0086573B"/>
    <w:rsid w:val="008658EC"/>
    <w:rsid w:val="0086607D"/>
    <w:rsid w:val="00866189"/>
    <w:rsid w:val="00866A79"/>
    <w:rsid w:val="00866BAD"/>
    <w:rsid w:val="00866F3A"/>
    <w:rsid w:val="00867421"/>
    <w:rsid w:val="008675F4"/>
    <w:rsid w:val="00867D5B"/>
    <w:rsid w:val="00867EC3"/>
    <w:rsid w:val="008701D5"/>
    <w:rsid w:val="0087027B"/>
    <w:rsid w:val="00870515"/>
    <w:rsid w:val="00870D40"/>
    <w:rsid w:val="00870E1C"/>
    <w:rsid w:val="0087119B"/>
    <w:rsid w:val="008716CB"/>
    <w:rsid w:val="008717E9"/>
    <w:rsid w:val="00871C4A"/>
    <w:rsid w:val="008722E3"/>
    <w:rsid w:val="008735DA"/>
    <w:rsid w:val="00873910"/>
    <w:rsid w:val="008739E7"/>
    <w:rsid w:val="00873FE2"/>
    <w:rsid w:val="0087408F"/>
    <w:rsid w:val="008741FA"/>
    <w:rsid w:val="00874397"/>
    <w:rsid w:val="00874408"/>
    <w:rsid w:val="00874487"/>
    <w:rsid w:val="008747AF"/>
    <w:rsid w:val="008749BC"/>
    <w:rsid w:val="00874A69"/>
    <w:rsid w:val="00874D11"/>
    <w:rsid w:val="00875057"/>
    <w:rsid w:val="008750B7"/>
    <w:rsid w:val="00875704"/>
    <w:rsid w:val="00875CBB"/>
    <w:rsid w:val="00876324"/>
    <w:rsid w:val="008764C2"/>
    <w:rsid w:val="00876736"/>
    <w:rsid w:val="0087687D"/>
    <w:rsid w:val="008769E1"/>
    <w:rsid w:val="00876B03"/>
    <w:rsid w:val="00876B94"/>
    <w:rsid w:val="00876D09"/>
    <w:rsid w:val="00876F27"/>
    <w:rsid w:val="00876FDA"/>
    <w:rsid w:val="0087708D"/>
    <w:rsid w:val="00877A73"/>
    <w:rsid w:val="00877CA1"/>
    <w:rsid w:val="00877D4C"/>
    <w:rsid w:val="00877D59"/>
    <w:rsid w:val="00877E92"/>
    <w:rsid w:val="00880739"/>
    <w:rsid w:val="008807C2"/>
    <w:rsid w:val="00880837"/>
    <w:rsid w:val="0088095B"/>
    <w:rsid w:val="00880AA6"/>
    <w:rsid w:val="00880B01"/>
    <w:rsid w:val="00880DAB"/>
    <w:rsid w:val="00880F4E"/>
    <w:rsid w:val="00881397"/>
    <w:rsid w:val="00881435"/>
    <w:rsid w:val="008817BA"/>
    <w:rsid w:val="00881D16"/>
    <w:rsid w:val="00881DC5"/>
    <w:rsid w:val="00881EE6"/>
    <w:rsid w:val="00881F21"/>
    <w:rsid w:val="00882324"/>
    <w:rsid w:val="00882436"/>
    <w:rsid w:val="00882600"/>
    <w:rsid w:val="008826FB"/>
    <w:rsid w:val="00882832"/>
    <w:rsid w:val="00882BCC"/>
    <w:rsid w:val="00882D3B"/>
    <w:rsid w:val="00882F51"/>
    <w:rsid w:val="00883073"/>
    <w:rsid w:val="0088308C"/>
    <w:rsid w:val="0088368A"/>
    <w:rsid w:val="008837BF"/>
    <w:rsid w:val="0088386D"/>
    <w:rsid w:val="00883C8D"/>
    <w:rsid w:val="00883D92"/>
    <w:rsid w:val="0088441F"/>
    <w:rsid w:val="0088445F"/>
    <w:rsid w:val="00884817"/>
    <w:rsid w:val="00884D13"/>
    <w:rsid w:val="008850B8"/>
    <w:rsid w:val="00885183"/>
    <w:rsid w:val="0088518B"/>
    <w:rsid w:val="0088538A"/>
    <w:rsid w:val="0088551E"/>
    <w:rsid w:val="00885758"/>
    <w:rsid w:val="00885A72"/>
    <w:rsid w:val="00885B12"/>
    <w:rsid w:val="00885E0A"/>
    <w:rsid w:val="0088605E"/>
    <w:rsid w:val="0088681F"/>
    <w:rsid w:val="00886F2A"/>
    <w:rsid w:val="008874B8"/>
    <w:rsid w:val="008879E9"/>
    <w:rsid w:val="00887B00"/>
    <w:rsid w:val="0089005B"/>
    <w:rsid w:val="00890A78"/>
    <w:rsid w:val="00890C71"/>
    <w:rsid w:val="00890D29"/>
    <w:rsid w:val="00890D84"/>
    <w:rsid w:val="00890F4D"/>
    <w:rsid w:val="00890F98"/>
    <w:rsid w:val="00891155"/>
    <w:rsid w:val="00891187"/>
    <w:rsid w:val="008914FC"/>
    <w:rsid w:val="00891874"/>
    <w:rsid w:val="00891987"/>
    <w:rsid w:val="00891C0F"/>
    <w:rsid w:val="00892350"/>
    <w:rsid w:val="00893598"/>
    <w:rsid w:val="0089372D"/>
    <w:rsid w:val="00893BDE"/>
    <w:rsid w:val="00893E1F"/>
    <w:rsid w:val="00894519"/>
    <w:rsid w:val="00894577"/>
    <w:rsid w:val="00894823"/>
    <w:rsid w:val="008948F5"/>
    <w:rsid w:val="00894A00"/>
    <w:rsid w:val="00894A13"/>
    <w:rsid w:val="00894CCA"/>
    <w:rsid w:val="008954C2"/>
    <w:rsid w:val="008958F4"/>
    <w:rsid w:val="00895950"/>
    <w:rsid w:val="00896003"/>
    <w:rsid w:val="008960AA"/>
    <w:rsid w:val="008964E1"/>
    <w:rsid w:val="0089673A"/>
    <w:rsid w:val="00896770"/>
    <w:rsid w:val="008972C5"/>
    <w:rsid w:val="00897796"/>
    <w:rsid w:val="008A0647"/>
    <w:rsid w:val="008A08D2"/>
    <w:rsid w:val="008A0AF2"/>
    <w:rsid w:val="008A0D9A"/>
    <w:rsid w:val="008A10E3"/>
    <w:rsid w:val="008A1509"/>
    <w:rsid w:val="008A1564"/>
    <w:rsid w:val="008A1A89"/>
    <w:rsid w:val="008A1DB0"/>
    <w:rsid w:val="008A2308"/>
    <w:rsid w:val="008A23DC"/>
    <w:rsid w:val="008A23F8"/>
    <w:rsid w:val="008A264E"/>
    <w:rsid w:val="008A2BC1"/>
    <w:rsid w:val="008A3547"/>
    <w:rsid w:val="008A369B"/>
    <w:rsid w:val="008A3F7E"/>
    <w:rsid w:val="008A469E"/>
    <w:rsid w:val="008A46F7"/>
    <w:rsid w:val="008A47CD"/>
    <w:rsid w:val="008A4B55"/>
    <w:rsid w:val="008A4B82"/>
    <w:rsid w:val="008A4C52"/>
    <w:rsid w:val="008A501C"/>
    <w:rsid w:val="008A5237"/>
    <w:rsid w:val="008A52AF"/>
    <w:rsid w:val="008A5318"/>
    <w:rsid w:val="008A5419"/>
    <w:rsid w:val="008A5B75"/>
    <w:rsid w:val="008A5E60"/>
    <w:rsid w:val="008A5F1C"/>
    <w:rsid w:val="008A6521"/>
    <w:rsid w:val="008A65D0"/>
    <w:rsid w:val="008A684D"/>
    <w:rsid w:val="008A6939"/>
    <w:rsid w:val="008A6975"/>
    <w:rsid w:val="008A6A34"/>
    <w:rsid w:val="008A6A4E"/>
    <w:rsid w:val="008A6B4D"/>
    <w:rsid w:val="008A6D7B"/>
    <w:rsid w:val="008A709A"/>
    <w:rsid w:val="008A70DF"/>
    <w:rsid w:val="008A7607"/>
    <w:rsid w:val="008A769B"/>
    <w:rsid w:val="008A7E1A"/>
    <w:rsid w:val="008A7ED9"/>
    <w:rsid w:val="008B020A"/>
    <w:rsid w:val="008B040A"/>
    <w:rsid w:val="008B093F"/>
    <w:rsid w:val="008B0DB0"/>
    <w:rsid w:val="008B0EB6"/>
    <w:rsid w:val="008B0FED"/>
    <w:rsid w:val="008B1132"/>
    <w:rsid w:val="008B1A1C"/>
    <w:rsid w:val="008B1E4E"/>
    <w:rsid w:val="008B1F6A"/>
    <w:rsid w:val="008B20F6"/>
    <w:rsid w:val="008B221B"/>
    <w:rsid w:val="008B2273"/>
    <w:rsid w:val="008B2650"/>
    <w:rsid w:val="008B2718"/>
    <w:rsid w:val="008B27C8"/>
    <w:rsid w:val="008B29BA"/>
    <w:rsid w:val="008B2F7A"/>
    <w:rsid w:val="008B305C"/>
    <w:rsid w:val="008B3479"/>
    <w:rsid w:val="008B364C"/>
    <w:rsid w:val="008B37E3"/>
    <w:rsid w:val="008B3AF1"/>
    <w:rsid w:val="008B3FC4"/>
    <w:rsid w:val="008B40FB"/>
    <w:rsid w:val="008B4146"/>
    <w:rsid w:val="008B41D6"/>
    <w:rsid w:val="008B42F9"/>
    <w:rsid w:val="008B42FC"/>
    <w:rsid w:val="008B4321"/>
    <w:rsid w:val="008B4453"/>
    <w:rsid w:val="008B475D"/>
    <w:rsid w:val="008B4B8A"/>
    <w:rsid w:val="008B5367"/>
    <w:rsid w:val="008B53DA"/>
    <w:rsid w:val="008B5A50"/>
    <w:rsid w:val="008B5AD8"/>
    <w:rsid w:val="008B5EDB"/>
    <w:rsid w:val="008B5F6D"/>
    <w:rsid w:val="008B6137"/>
    <w:rsid w:val="008B625F"/>
    <w:rsid w:val="008B6616"/>
    <w:rsid w:val="008B683B"/>
    <w:rsid w:val="008B68F5"/>
    <w:rsid w:val="008B6E5C"/>
    <w:rsid w:val="008B73D1"/>
    <w:rsid w:val="008B7650"/>
    <w:rsid w:val="008B79E9"/>
    <w:rsid w:val="008B7A18"/>
    <w:rsid w:val="008B7AC8"/>
    <w:rsid w:val="008C07A0"/>
    <w:rsid w:val="008C10DD"/>
    <w:rsid w:val="008C17B6"/>
    <w:rsid w:val="008C18E7"/>
    <w:rsid w:val="008C19F0"/>
    <w:rsid w:val="008C2370"/>
    <w:rsid w:val="008C2488"/>
    <w:rsid w:val="008C29B0"/>
    <w:rsid w:val="008C2E63"/>
    <w:rsid w:val="008C32FF"/>
    <w:rsid w:val="008C373C"/>
    <w:rsid w:val="008C3C31"/>
    <w:rsid w:val="008C3DF9"/>
    <w:rsid w:val="008C3E57"/>
    <w:rsid w:val="008C3FD9"/>
    <w:rsid w:val="008C41F8"/>
    <w:rsid w:val="008C4391"/>
    <w:rsid w:val="008C43F2"/>
    <w:rsid w:val="008C440C"/>
    <w:rsid w:val="008C47EC"/>
    <w:rsid w:val="008C4A07"/>
    <w:rsid w:val="008C4B5D"/>
    <w:rsid w:val="008C4F75"/>
    <w:rsid w:val="008C52DC"/>
    <w:rsid w:val="008C53D2"/>
    <w:rsid w:val="008C5667"/>
    <w:rsid w:val="008C56E2"/>
    <w:rsid w:val="008C57A5"/>
    <w:rsid w:val="008C580A"/>
    <w:rsid w:val="008C60C8"/>
    <w:rsid w:val="008C6309"/>
    <w:rsid w:val="008C6C95"/>
    <w:rsid w:val="008C726D"/>
    <w:rsid w:val="008C73B9"/>
    <w:rsid w:val="008C7650"/>
    <w:rsid w:val="008D0567"/>
    <w:rsid w:val="008D07B9"/>
    <w:rsid w:val="008D09C2"/>
    <w:rsid w:val="008D0B9B"/>
    <w:rsid w:val="008D0DB6"/>
    <w:rsid w:val="008D1111"/>
    <w:rsid w:val="008D1200"/>
    <w:rsid w:val="008D129D"/>
    <w:rsid w:val="008D146B"/>
    <w:rsid w:val="008D1828"/>
    <w:rsid w:val="008D1937"/>
    <w:rsid w:val="008D1B08"/>
    <w:rsid w:val="008D1B3B"/>
    <w:rsid w:val="008D1BA6"/>
    <w:rsid w:val="008D2078"/>
    <w:rsid w:val="008D2BAC"/>
    <w:rsid w:val="008D2BB3"/>
    <w:rsid w:val="008D30D6"/>
    <w:rsid w:val="008D3193"/>
    <w:rsid w:val="008D366D"/>
    <w:rsid w:val="008D37F7"/>
    <w:rsid w:val="008D3D02"/>
    <w:rsid w:val="008D48F2"/>
    <w:rsid w:val="008D4A63"/>
    <w:rsid w:val="008D4E9D"/>
    <w:rsid w:val="008D4FCD"/>
    <w:rsid w:val="008D55C0"/>
    <w:rsid w:val="008D5B5D"/>
    <w:rsid w:val="008D6373"/>
    <w:rsid w:val="008D6878"/>
    <w:rsid w:val="008D68E7"/>
    <w:rsid w:val="008D6C9E"/>
    <w:rsid w:val="008D6CDC"/>
    <w:rsid w:val="008D6D7D"/>
    <w:rsid w:val="008D6F31"/>
    <w:rsid w:val="008D71C0"/>
    <w:rsid w:val="008D76C3"/>
    <w:rsid w:val="008D7955"/>
    <w:rsid w:val="008D7E45"/>
    <w:rsid w:val="008E06A6"/>
    <w:rsid w:val="008E0E1D"/>
    <w:rsid w:val="008E1276"/>
    <w:rsid w:val="008E1378"/>
    <w:rsid w:val="008E161B"/>
    <w:rsid w:val="008E1641"/>
    <w:rsid w:val="008E1D5C"/>
    <w:rsid w:val="008E1F22"/>
    <w:rsid w:val="008E1FAD"/>
    <w:rsid w:val="008E2AA8"/>
    <w:rsid w:val="008E2B06"/>
    <w:rsid w:val="008E2BF1"/>
    <w:rsid w:val="008E2FEF"/>
    <w:rsid w:val="008E3AF0"/>
    <w:rsid w:val="008E3BB0"/>
    <w:rsid w:val="008E3C43"/>
    <w:rsid w:val="008E3E1F"/>
    <w:rsid w:val="008E3F24"/>
    <w:rsid w:val="008E40E4"/>
    <w:rsid w:val="008E4157"/>
    <w:rsid w:val="008E457D"/>
    <w:rsid w:val="008E4796"/>
    <w:rsid w:val="008E4817"/>
    <w:rsid w:val="008E4849"/>
    <w:rsid w:val="008E4908"/>
    <w:rsid w:val="008E49DB"/>
    <w:rsid w:val="008E4CD1"/>
    <w:rsid w:val="008E5656"/>
    <w:rsid w:val="008E583A"/>
    <w:rsid w:val="008E5CB8"/>
    <w:rsid w:val="008E646A"/>
    <w:rsid w:val="008E673F"/>
    <w:rsid w:val="008E6A53"/>
    <w:rsid w:val="008E6BF5"/>
    <w:rsid w:val="008E7047"/>
    <w:rsid w:val="008E70A2"/>
    <w:rsid w:val="008E7149"/>
    <w:rsid w:val="008E71D2"/>
    <w:rsid w:val="008E7818"/>
    <w:rsid w:val="008E7AA3"/>
    <w:rsid w:val="008E7ABA"/>
    <w:rsid w:val="008E7B59"/>
    <w:rsid w:val="008E7B7C"/>
    <w:rsid w:val="008E7CBF"/>
    <w:rsid w:val="008E7D45"/>
    <w:rsid w:val="008E7DB8"/>
    <w:rsid w:val="008F0050"/>
    <w:rsid w:val="008F0176"/>
    <w:rsid w:val="008F031E"/>
    <w:rsid w:val="008F0419"/>
    <w:rsid w:val="008F045E"/>
    <w:rsid w:val="008F0880"/>
    <w:rsid w:val="008F10DE"/>
    <w:rsid w:val="008F118E"/>
    <w:rsid w:val="008F12AE"/>
    <w:rsid w:val="008F13D6"/>
    <w:rsid w:val="008F1AFC"/>
    <w:rsid w:val="008F1B3D"/>
    <w:rsid w:val="008F1C8A"/>
    <w:rsid w:val="008F1FEE"/>
    <w:rsid w:val="008F321C"/>
    <w:rsid w:val="008F36F2"/>
    <w:rsid w:val="008F3EEB"/>
    <w:rsid w:val="008F3FE0"/>
    <w:rsid w:val="008F42A2"/>
    <w:rsid w:val="008F43F5"/>
    <w:rsid w:val="008F442D"/>
    <w:rsid w:val="008F52D9"/>
    <w:rsid w:val="008F53C3"/>
    <w:rsid w:val="008F5536"/>
    <w:rsid w:val="008F590C"/>
    <w:rsid w:val="008F59E0"/>
    <w:rsid w:val="008F5A3B"/>
    <w:rsid w:val="008F5A88"/>
    <w:rsid w:val="008F5DB0"/>
    <w:rsid w:val="008F698D"/>
    <w:rsid w:val="008F69A7"/>
    <w:rsid w:val="008F6A86"/>
    <w:rsid w:val="008F6C2B"/>
    <w:rsid w:val="008F6D25"/>
    <w:rsid w:val="008F7110"/>
    <w:rsid w:val="008F7408"/>
    <w:rsid w:val="008F757D"/>
    <w:rsid w:val="008F7580"/>
    <w:rsid w:val="008F7C68"/>
    <w:rsid w:val="0090002D"/>
    <w:rsid w:val="009000DC"/>
    <w:rsid w:val="009009E2"/>
    <w:rsid w:val="00900A5E"/>
    <w:rsid w:val="00900AB1"/>
    <w:rsid w:val="00901140"/>
    <w:rsid w:val="0090119C"/>
    <w:rsid w:val="009014B6"/>
    <w:rsid w:val="00901DEF"/>
    <w:rsid w:val="00901F08"/>
    <w:rsid w:val="00901FAA"/>
    <w:rsid w:val="009020A0"/>
    <w:rsid w:val="00902123"/>
    <w:rsid w:val="009021B9"/>
    <w:rsid w:val="00902465"/>
    <w:rsid w:val="009025D4"/>
    <w:rsid w:val="009027A7"/>
    <w:rsid w:val="00902C64"/>
    <w:rsid w:val="00903736"/>
    <w:rsid w:val="00903B7C"/>
    <w:rsid w:val="00903C9A"/>
    <w:rsid w:val="00903CD5"/>
    <w:rsid w:val="0090484E"/>
    <w:rsid w:val="00904D7F"/>
    <w:rsid w:val="00904E03"/>
    <w:rsid w:val="009053DA"/>
    <w:rsid w:val="009057C2"/>
    <w:rsid w:val="00905AB4"/>
    <w:rsid w:val="00905ACB"/>
    <w:rsid w:val="00905BD0"/>
    <w:rsid w:val="00907082"/>
    <w:rsid w:val="009070EC"/>
    <w:rsid w:val="0090739A"/>
    <w:rsid w:val="00907716"/>
    <w:rsid w:val="009079A8"/>
    <w:rsid w:val="0091037C"/>
    <w:rsid w:val="00910387"/>
    <w:rsid w:val="00911320"/>
    <w:rsid w:val="00911ECC"/>
    <w:rsid w:val="00911EE4"/>
    <w:rsid w:val="0091234D"/>
    <w:rsid w:val="009126F5"/>
    <w:rsid w:val="00912A4D"/>
    <w:rsid w:val="00912B8F"/>
    <w:rsid w:val="00912CBF"/>
    <w:rsid w:val="00912EE9"/>
    <w:rsid w:val="00913045"/>
    <w:rsid w:val="0091310B"/>
    <w:rsid w:val="00913601"/>
    <w:rsid w:val="00913609"/>
    <w:rsid w:val="0091389D"/>
    <w:rsid w:val="0091398B"/>
    <w:rsid w:val="00913DE9"/>
    <w:rsid w:val="0091439D"/>
    <w:rsid w:val="00914603"/>
    <w:rsid w:val="00914D2E"/>
    <w:rsid w:val="00914EA8"/>
    <w:rsid w:val="0091513C"/>
    <w:rsid w:val="00915293"/>
    <w:rsid w:val="00915865"/>
    <w:rsid w:val="00915EB8"/>
    <w:rsid w:val="0091607B"/>
    <w:rsid w:val="009163E8"/>
    <w:rsid w:val="009164C6"/>
    <w:rsid w:val="00916D9D"/>
    <w:rsid w:val="00917348"/>
    <w:rsid w:val="009174C8"/>
    <w:rsid w:val="0091755A"/>
    <w:rsid w:val="00917781"/>
    <w:rsid w:val="009178A8"/>
    <w:rsid w:val="00917C80"/>
    <w:rsid w:val="00917EAC"/>
    <w:rsid w:val="00920388"/>
    <w:rsid w:val="0092043B"/>
    <w:rsid w:val="009205A3"/>
    <w:rsid w:val="0092156B"/>
    <w:rsid w:val="009215C5"/>
    <w:rsid w:val="00921B59"/>
    <w:rsid w:val="00921F39"/>
    <w:rsid w:val="00921FAD"/>
    <w:rsid w:val="009221C2"/>
    <w:rsid w:val="00922307"/>
    <w:rsid w:val="00922466"/>
    <w:rsid w:val="00922747"/>
    <w:rsid w:val="00922BC7"/>
    <w:rsid w:val="00922C68"/>
    <w:rsid w:val="00922FE3"/>
    <w:rsid w:val="009233D2"/>
    <w:rsid w:val="009234BE"/>
    <w:rsid w:val="00923E8A"/>
    <w:rsid w:val="009240D5"/>
    <w:rsid w:val="00924318"/>
    <w:rsid w:val="00924663"/>
    <w:rsid w:val="00924891"/>
    <w:rsid w:val="00924C61"/>
    <w:rsid w:val="0092587A"/>
    <w:rsid w:val="00925A2F"/>
    <w:rsid w:val="00925A34"/>
    <w:rsid w:val="00925C74"/>
    <w:rsid w:val="00925E95"/>
    <w:rsid w:val="00926403"/>
    <w:rsid w:val="00926565"/>
    <w:rsid w:val="00926849"/>
    <w:rsid w:val="009268C3"/>
    <w:rsid w:val="0092696E"/>
    <w:rsid w:val="00926C9C"/>
    <w:rsid w:val="00926CEF"/>
    <w:rsid w:val="00927282"/>
    <w:rsid w:val="0092752F"/>
    <w:rsid w:val="00927D6C"/>
    <w:rsid w:val="00930221"/>
    <w:rsid w:val="00930419"/>
    <w:rsid w:val="00930D0C"/>
    <w:rsid w:val="00930F39"/>
    <w:rsid w:val="009310A5"/>
    <w:rsid w:val="00931169"/>
    <w:rsid w:val="00931345"/>
    <w:rsid w:val="00931D68"/>
    <w:rsid w:val="00931E4A"/>
    <w:rsid w:val="009325E5"/>
    <w:rsid w:val="0093270A"/>
    <w:rsid w:val="009328C1"/>
    <w:rsid w:val="009329DB"/>
    <w:rsid w:val="009336E5"/>
    <w:rsid w:val="00933823"/>
    <w:rsid w:val="00933EE7"/>
    <w:rsid w:val="00933FE0"/>
    <w:rsid w:val="009343EB"/>
    <w:rsid w:val="009344EE"/>
    <w:rsid w:val="00934653"/>
    <w:rsid w:val="0093495D"/>
    <w:rsid w:val="00934B10"/>
    <w:rsid w:val="0093533C"/>
    <w:rsid w:val="0093585B"/>
    <w:rsid w:val="009359F1"/>
    <w:rsid w:val="00935B98"/>
    <w:rsid w:val="00935E36"/>
    <w:rsid w:val="00936128"/>
    <w:rsid w:val="009365EF"/>
    <w:rsid w:val="00936678"/>
    <w:rsid w:val="009366FC"/>
    <w:rsid w:val="009371DB"/>
    <w:rsid w:val="0093750C"/>
    <w:rsid w:val="00937A46"/>
    <w:rsid w:val="00937EAC"/>
    <w:rsid w:val="00940113"/>
    <w:rsid w:val="009406AA"/>
    <w:rsid w:val="00940B55"/>
    <w:rsid w:val="00940D71"/>
    <w:rsid w:val="00940D7F"/>
    <w:rsid w:val="00940FC0"/>
    <w:rsid w:val="0094119D"/>
    <w:rsid w:val="0094122D"/>
    <w:rsid w:val="0094157A"/>
    <w:rsid w:val="009415D2"/>
    <w:rsid w:val="00941906"/>
    <w:rsid w:val="00941C4B"/>
    <w:rsid w:val="00941DE0"/>
    <w:rsid w:val="0094201A"/>
    <w:rsid w:val="009422EC"/>
    <w:rsid w:val="009429E0"/>
    <w:rsid w:val="0094308E"/>
    <w:rsid w:val="009431F8"/>
    <w:rsid w:val="00943350"/>
    <w:rsid w:val="009436A4"/>
    <w:rsid w:val="0094392C"/>
    <w:rsid w:val="00943E73"/>
    <w:rsid w:val="00943ECA"/>
    <w:rsid w:val="00943F6B"/>
    <w:rsid w:val="00944207"/>
    <w:rsid w:val="00944275"/>
    <w:rsid w:val="0094433A"/>
    <w:rsid w:val="009446B5"/>
    <w:rsid w:val="00944851"/>
    <w:rsid w:val="00944B6E"/>
    <w:rsid w:val="00945197"/>
    <w:rsid w:val="0094520F"/>
    <w:rsid w:val="009455A3"/>
    <w:rsid w:val="00945A4D"/>
    <w:rsid w:val="00945A83"/>
    <w:rsid w:val="00945C47"/>
    <w:rsid w:val="009461A3"/>
    <w:rsid w:val="009462B9"/>
    <w:rsid w:val="0094653A"/>
    <w:rsid w:val="009469C1"/>
    <w:rsid w:val="009469EE"/>
    <w:rsid w:val="00946E4D"/>
    <w:rsid w:val="0094774B"/>
    <w:rsid w:val="0094786E"/>
    <w:rsid w:val="00947EDC"/>
    <w:rsid w:val="00950184"/>
    <w:rsid w:val="009502AD"/>
    <w:rsid w:val="00950605"/>
    <w:rsid w:val="00950787"/>
    <w:rsid w:val="009509B7"/>
    <w:rsid w:val="00950A50"/>
    <w:rsid w:val="00950B16"/>
    <w:rsid w:val="00950EAA"/>
    <w:rsid w:val="00950EEC"/>
    <w:rsid w:val="00950F3E"/>
    <w:rsid w:val="00951000"/>
    <w:rsid w:val="0095134D"/>
    <w:rsid w:val="0095167A"/>
    <w:rsid w:val="00951C0E"/>
    <w:rsid w:val="009522B4"/>
    <w:rsid w:val="009524A6"/>
    <w:rsid w:val="00952A82"/>
    <w:rsid w:val="00952AE4"/>
    <w:rsid w:val="00952D15"/>
    <w:rsid w:val="009536BE"/>
    <w:rsid w:val="00953BE6"/>
    <w:rsid w:val="00953E70"/>
    <w:rsid w:val="00953FE0"/>
    <w:rsid w:val="009541D8"/>
    <w:rsid w:val="00954312"/>
    <w:rsid w:val="00954400"/>
    <w:rsid w:val="00954B8C"/>
    <w:rsid w:val="00954CCC"/>
    <w:rsid w:val="00954F45"/>
    <w:rsid w:val="00955716"/>
    <w:rsid w:val="00955D67"/>
    <w:rsid w:val="00955D6A"/>
    <w:rsid w:val="00955FA2"/>
    <w:rsid w:val="0095611E"/>
    <w:rsid w:val="009567F1"/>
    <w:rsid w:val="00956840"/>
    <w:rsid w:val="00956850"/>
    <w:rsid w:val="00956B00"/>
    <w:rsid w:val="00956E01"/>
    <w:rsid w:val="00957042"/>
    <w:rsid w:val="00957046"/>
    <w:rsid w:val="0095706C"/>
    <w:rsid w:val="0095733B"/>
    <w:rsid w:val="00957432"/>
    <w:rsid w:val="009578FD"/>
    <w:rsid w:val="00957912"/>
    <w:rsid w:val="00957A66"/>
    <w:rsid w:val="00957A71"/>
    <w:rsid w:val="00957C56"/>
    <w:rsid w:val="0096040A"/>
    <w:rsid w:val="0096070B"/>
    <w:rsid w:val="00960F1B"/>
    <w:rsid w:val="00961185"/>
    <w:rsid w:val="009611FD"/>
    <w:rsid w:val="00961739"/>
    <w:rsid w:val="00961AAE"/>
    <w:rsid w:val="00961D1B"/>
    <w:rsid w:val="00961D50"/>
    <w:rsid w:val="00961F94"/>
    <w:rsid w:val="009620E8"/>
    <w:rsid w:val="0096210B"/>
    <w:rsid w:val="00962957"/>
    <w:rsid w:val="0096298D"/>
    <w:rsid w:val="00962E2A"/>
    <w:rsid w:val="00962E9B"/>
    <w:rsid w:val="00963095"/>
    <w:rsid w:val="009631EA"/>
    <w:rsid w:val="009631FF"/>
    <w:rsid w:val="00963A48"/>
    <w:rsid w:val="00963FAD"/>
    <w:rsid w:val="009645D7"/>
    <w:rsid w:val="0096468A"/>
    <w:rsid w:val="009646F9"/>
    <w:rsid w:val="00964E7C"/>
    <w:rsid w:val="00964F64"/>
    <w:rsid w:val="00965768"/>
    <w:rsid w:val="00965891"/>
    <w:rsid w:val="00965ACB"/>
    <w:rsid w:val="00965CCE"/>
    <w:rsid w:val="00966134"/>
    <w:rsid w:val="00966243"/>
    <w:rsid w:val="00966968"/>
    <w:rsid w:val="00966A71"/>
    <w:rsid w:val="00967051"/>
    <w:rsid w:val="00967BF4"/>
    <w:rsid w:val="00967C0E"/>
    <w:rsid w:val="0097026F"/>
    <w:rsid w:val="00970675"/>
    <w:rsid w:val="00970969"/>
    <w:rsid w:val="00970C12"/>
    <w:rsid w:val="00970DEF"/>
    <w:rsid w:val="00971014"/>
    <w:rsid w:val="009711E4"/>
    <w:rsid w:val="00971892"/>
    <w:rsid w:val="00971A2E"/>
    <w:rsid w:val="0097203B"/>
    <w:rsid w:val="00972A95"/>
    <w:rsid w:val="00972C11"/>
    <w:rsid w:val="00972E45"/>
    <w:rsid w:val="00972F5B"/>
    <w:rsid w:val="00973039"/>
    <w:rsid w:val="00973119"/>
    <w:rsid w:val="0097319C"/>
    <w:rsid w:val="00974125"/>
    <w:rsid w:val="009743BC"/>
    <w:rsid w:val="00974B79"/>
    <w:rsid w:val="009754AF"/>
    <w:rsid w:val="009757FB"/>
    <w:rsid w:val="00975952"/>
    <w:rsid w:val="00975DCC"/>
    <w:rsid w:val="00976172"/>
    <w:rsid w:val="0097627A"/>
    <w:rsid w:val="00976362"/>
    <w:rsid w:val="00976503"/>
    <w:rsid w:val="00976875"/>
    <w:rsid w:val="00976CA6"/>
    <w:rsid w:val="00976E61"/>
    <w:rsid w:val="00976F61"/>
    <w:rsid w:val="00977316"/>
    <w:rsid w:val="00977621"/>
    <w:rsid w:val="00980297"/>
    <w:rsid w:val="00980481"/>
    <w:rsid w:val="0098157C"/>
    <w:rsid w:val="009816F3"/>
    <w:rsid w:val="00981741"/>
    <w:rsid w:val="00981944"/>
    <w:rsid w:val="00981D1C"/>
    <w:rsid w:val="00981DCC"/>
    <w:rsid w:val="00981EE1"/>
    <w:rsid w:val="009826F3"/>
    <w:rsid w:val="00982C48"/>
    <w:rsid w:val="00982FD3"/>
    <w:rsid w:val="00983064"/>
    <w:rsid w:val="0098327B"/>
    <w:rsid w:val="009836F5"/>
    <w:rsid w:val="00983A0B"/>
    <w:rsid w:val="00984099"/>
    <w:rsid w:val="009840B6"/>
    <w:rsid w:val="00984174"/>
    <w:rsid w:val="0098446D"/>
    <w:rsid w:val="009848D1"/>
    <w:rsid w:val="00984A82"/>
    <w:rsid w:val="00984E55"/>
    <w:rsid w:val="0098532A"/>
    <w:rsid w:val="009853CD"/>
    <w:rsid w:val="00985AA6"/>
    <w:rsid w:val="00985BF3"/>
    <w:rsid w:val="00985F20"/>
    <w:rsid w:val="009862DE"/>
    <w:rsid w:val="0098647E"/>
    <w:rsid w:val="009866DD"/>
    <w:rsid w:val="00986B62"/>
    <w:rsid w:val="00987476"/>
    <w:rsid w:val="00987809"/>
    <w:rsid w:val="00990251"/>
    <w:rsid w:val="009902DF"/>
    <w:rsid w:val="009906FF"/>
    <w:rsid w:val="00990DE6"/>
    <w:rsid w:val="0099132B"/>
    <w:rsid w:val="009914F8"/>
    <w:rsid w:val="00991554"/>
    <w:rsid w:val="00991DBF"/>
    <w:rsid w:val="009929D0"/>
    <w:rsid w:val="00992E26"/>
    <w:rsid w:val="0099307D"/>
    <w:rsid w:val="00993529"/>
    <w:rsid w:val="009937EE"/>
    <w:rsid w:val="00993BAD"/>
    <w:rsid w:val="00993BDE"/>
    <w:rsid w:val="00993E9D"/>
    <w:rsid w:val="00994610"/>
    <w:rsid w:val="0099467F"/>
    <w:rsid w:val="00994B8B"/>
    <w:rsid w:val="00994C51"/>
    <w:rsid w:val="00994EA1"/>
    <w:rsid w:val="0099531C"/>
    <w:rsid w:val="009953EC"/>
    <w:rsid w:val="009953F5"/>
    <w:rsid w:val="00995CB6"/>
    <w:rsid w:val="009968E0"/>
    <w:rsid w:val="00996A62"/>
    <w:rsid w:val="00996A7C"/>
    <w:rsid w:val="00996BF5"/>
    <w:rsid w:val="00997136"/>
    <w:rsid w:val="009A001D"/>
    <w:rsid w:val="009A0052"/>
    <w:rsid w:val="009A00B3"/>
    <w:rsid w:val="009A04B4"/>
    <w:rsid w:val="009A0F29"/>
    <w:rsid w:val="009A1D3D"/>
    <w:rsid w:val="009A215F"/>
    <w:rsid w:val="009A28B7"/>
    <w:rsid w:val="009A2A20"/>
    <w:rsid w:val="009A2FF4"/>
    <w:rsid w:val="009A383D"/>
    <w:rsid w:val="009A38C8"/>
    <w:rsid w:val="009A3D48"/>
    <w:rsid w:val="009A41E0"/>
    <w:rsid w:val="009A43D1"/>
    <w:rsid w:val="009A44DE"/>
    <w:rsid w:val="009A470E"/>
    <w:rsid w:val="009A482A"/>
    <w:rsid w:val="009A4A59"/>
    <w:rsid w:val="009A4F9A"/>
    <w:rsid w:val="009A4FE2"/>
    <w:rsid w:val="009A5055"/>
    <w:rsid w:val="009A53FF"/>
    <w:rsid w:val="009A5545"/>
    <w:rsid w:val="009A55B4"/>
    <w:rsid w:val="009A59F3"/>
    <w:rsid w:val="009A5D00"/>
    <w:rsid w:val="009A5E21"/>
    <w:rsid w:val="009A6807"/>
    <w:rsid w:val="009A7645"/>
    <w:rsid w:val="009A7679"/>
    <w:rsid w:val="009A77E7"/>
    <w:rsid w:val="009A780A"/>
    <w:rsid w:val="009A7898"/>
    <w:rsid w:val="009A78FE"/>
    <w:rsid w:val="009A7B51"/>
    <w:rsid w:val="009A7B70"/>
    <w:rsid w:val="009B028D"/>
    <w:rsid w:val="009B0414"/>
    <w:rsid w:val="009B04E1"/>
    <w:rsid w:val="009B069B"/>
    <w:rsid w:val="009B1122"/>
    <w:rsid w:val="009B1B93"/>
    <w:rsid w:val="009B1CD9"/>
    <w:rsid w:val="009B20CE"/>
    <w:rsid w:val="009B2248"/>
    <w:rsid w:val="009B25B1"/>
    <w:rsid w:val="009B2607"/>
    <w:rsid w:val="009B26A8"/>
    <w:rsid w:val="009B2A7D"/>
    <w:rsid w:val="009B2F50"/>
    <w:rsid w:val="009B2FED"/>
    <w:rsid w:val="009B3010"/>
    <w:rsid w:val="009B31BA"/>
    <w:rsid w:val="009B3590"/>
    <w:rsid w:val="009B376A"/>
    <w:rsid w:val="009B4419"/>
    <w:rsid w:val="009B4479"/>
    <w:rsid w:val="009B495A"/>
    <w:rsid w:val="009B49B1"/>
    <w:rsid w:val="009B4E10"/>
    <w:rsid w:val="009B50BB"/>
    <w:rsid w:val="009B522E"/>
    <w:rsid w:val="009B5375"/>
    <w:rsid w:val="009B5476"/>
    <w:rsid w:val="009B54EB"/>
    <w:rsid w:val="009B5865"/>
    <w:rsid w:val="009B58F2"/>
    <w:rsid w:val="009B5997"/>
    <w:rsid w:val="009B5AD1"/>
    <w:rsid w:val="009B5B94"/>
    <w:rsid w:val="009B5CAB"/>
    <w:rsid w:val="009B5D42"/>
    <w:rsid w:val="009B5E7B"/>
    <w:rsid w:val="009B5F7B"/>
    <w:rsid w:val="009B6032"/>
    <w:rsid w:val="009B6078"/>
    <w:rsid w:val="009B6683"/>
    <w:rsid w:val="009B68C6"/>
    <w:rsid w:val="009B6916"/>
    <w:rsid w:val="009B6A59"/>
    <w:rsid w:val="009B6AC1"/>
    <w:rsid w:val="009B6ADB"/>
    <w:rsid w:val="009B6DE8"/>
    <w:rsid w:val="009B7187"/>
    <w:rsid w:val="009B78F4"/>
    <w:rsid w:val="009C05CF"/>
    <w:rsid w:val="009C0B89"/>
    <w:rsid w:val="009C0C67"/>
    <w:rsid w:val="009C0E23"/>
    <w:rsid w:val="009C124E"/>
    <w:rsid w:val="009C1449"/>
    <w:rsid w:val="009C16DF"/>
    <w:rsid w:val="009C1710"/>
    <w:rsid w:val="009C1B00"/>
    <w:rsid w:val="009C1B27"/>
    <w:rsid w:val="009C1C05"/>
    <w:rsid w:val="009C1C9C"/>
    <w:rsid w:val="009C24FD"/>
    <w:rsid w:val="009C26D8"/>
    <w:rsid w:val="009C28AA"/>
    <w:rsid w:val="009C290A"/>
    <w:rsid w:val="009C295F"/>
    <w:rsid w:val="009C2E4A"/>
    <w:rsid w:val="009C3352"/>
    <w:rsid w:val="009C336B"/>
    <w:rsid w:val="009C389C"/>
    <w:rsid w:val="009C38BE"/>
    <w:rsid w:val="009C3A7C"/>
    <w:rsid w:val="009C3D6E"/>
    <w:rsid w:val="009C48ED"/>
    <w:rsid w:val="009C4952"/>
    <w:rsid w:val="009C4CDE"/>
    <w:rsid w:val="009C4DC6"/>
    <w:rsid w:val="009C4F1F"/>
    <w:rsid w:val="009C4FDD"/>
    <w:rsid w:val="009C5AB3"/>
    <w:rsid w:val="009C5C04"/>
    <w:rsid w:val="009C5EBC"/>
    <w:rsid w:val="009C6444"/>
    <w:rsid w:val="009C6590"/>
    <w:rsid w:val="009C6E14"/>
    <w:rsid w:val="009D00D5"/>
    <w:rsid w:val="009D00E0"/>
    <w:rsid w:val="009D0167"/>
    <w:rsid w:val="009D04D8"/>
    <w:rsid w:val="009D0552"/>
    <w:rsid w:val="009D0EBE"/>
    <w:rsid w:val="009D113F"/>
    <w:rsid w:val="009D135B"/>
    <w:rsid w:val="009D1491"/>
    <w:rsid w:val="009D1507"/>
    <w:rsid w:val="009D19EE"/>
    <w:rsid w:val="009D1E07"/>
    <w:rsid w:val="009D270C"/>
    <w:rsid w:val="009D2D06"/>
    <w:rsid w:val="009D2DD7"/>
    <w:rsid w:val="009D39EA"/>
    <w:rsid w:val="009D3D4F"/>
    <w:rsid w:val="009D3D5B"/>
    <w:rsid w:val="009D4006"/>
    <w:rsid w:val="009D40C3"/>
    <w:rsid w:val="009D436F"/>
    <w:rsid w:val="009D459F"/>
    <w:rsid w:val="009D45E3"/>
    <w:rsid w:val="009D48B2"/>
    <w:rsid w:val="009D49FD"/>
    <w:rsid w:val="009D4B79"/>
    <w:rsid w:val="009D4CB6"/>
    <w:rsid w:val="009D4EE4"/>
    <w:rsid w:val="009D517F"/>
    <w:rsid w:val="009D5464"/>
    <w:rsid w:val="009D5F22"/>
    <w:rsid w:val="009D5FE0"/>
    <w:rsid w:val="009D6153"/>
    <w:rsid w:val="009D6C94"/>
    <w:rsid w:val="009D7026"/>
    <w:rsid w:val="009D765E"/>
    <w:rsid w:val="009D7B05"/>
    <w:rsid w:val="009D7D01"/>
    <w:rsid w:val="009D7FC7"/>
    <w:rsid w:val="009D7FE5"/>
    <w:rsid w:val="009E0257"/>
    <w:rsid w:val="009E04B5"/>
    <w:rsid w:val="009E052E"/>
    <w:rsid w:val="009E0594"/>
    <w:rsid w:val="009E05DC"/>
    <w:rsid w:val="009E0915"/>
    <w:rsid w:val="009E0D8A"/>
    <w:rsid w:val="009E0E86"/>
    <w:rsid w:val="009E17F9"/>
    <w:rsid w:val="009E1844"/>
    <w:rsid w:val="009E1B12"/>
    <w:rsid w:val="009E1C29"/>
    <w:rsid w:val="009E26B2"/>
    <w:rsid w:val="009E2D16"/>
    <w:rsid w:val="009E2D78"/>
    <w:rsid w:val="009E325A"/>
    <w:rsid w:val="009E32FB"/>
    <w:rsid w:val="009E337C"/>
    <w:rsid w:val="009E3479"/>
    <w:rsid w:val="009E356B"/>
    <w:rsid w:val="009E37EE"/>
    <w:rsid w:val="009E46C6"/>
    <w:rsid w:val="009E4908"/>
    <w:rsid w:val="009E50B3"/>
    <w:rsid w:val="009E522C"/>
    <w:rsid w:val="009E558F"/>
    <w:rsid w:val="009E5EE1"/>
    <w:rsid w:val="009E607D"/>
    <w:rsid w:val="009E6274"/>
    <w:rsid w:val="009E6709"/>
    <w:rsid w:val="009E69DB"/>
    <w:rsid w:val="009E6BAC"/>
    <w:rsid w:val="009E6BF8"/>
    <w:rsid w:val="009E6D7D"/>
    <w:rsid w:val="009E6DDD"/>
    <w:rsid w:val="009E6E2D"/>
    <w:rsid w:val="009E71A2"/>
    <w:rsid w:val="009E720A"/>
    <w:rsid w:val="009E7788"/>
    <w:rsid w:val="009E7B05"/>
    <w:rsid w:val="009E7BE8"/>
    <w:rsid w:val="009E7D74"/>
    <w:rsid w:val="009E7DD7"/>
    <w:rsid w:val="009F0083"/>
    <w:rsid w:val="009F00A7"/>
    <w:rsid w:val="009F020C"/>
    <w:rsid w:val="009F0682"/>
    <w:rsid w:val="009F0B63"/>
    <w:rsid w:val="009F1AD1"/>
    <w:rsid w:val="009F1E9D"/>
    <w:rsid w:val="009F21DF"/>
    <w:rsid w:val="009F224E"/>
    <w:rsid w:val="009F2304"/>
    <w:rsid w:val="009F24B2"/>
    <w:rsid w:val="009F2617"/>
    <w:rsid w:val="009F2811"/>
    <w:rsid w:val="009F2B28"/>
    <w:rsid w:val="009F2BDE"/>
    <w:rsid w:val="009F2C67"/>
    <w:rsid w:val="009F2CA8"/>
    <w:rsid w:val="009F2F49"/>
    <w:rsid w:val="009F344F"/>
    <w:rsid w:val="009F3AE5"/>
    <w:rsid w:val="009F3B44"/>
    <w:rsid w:val="009F3DC8"/>
    <w:rsid w:val="009F3F71"/>
    <w:rsid w:val="009F43E4"/>
    <w:rsid w:val="009F48CD"/>
    <w:rsid w:val="009F4D4D"/>
    <w:rsid w:val="009F53A6"/>
    <w:rsid w:val="009F5461"/>
    <w:rsid w:val="009F54B6"/>
    <w:rsid w:val="009F5986"/>
    <w:rsid w:val="009F5B91"/>
    <w:rsid w:val="009F5CFB"/>
    <w:rsid w:val="009F5D42"/>
    <w:rsid w:val="009F5DD1"/>
    <w:rsid w:val="009F6012"/>
    <w:rsid w:val="009F6270"/>
    <w:rsid w:val="009F68B9"/>
    <w:rsid w:val="009F72BB"/>
    <w:rsid w:val="009F7367"/>
    <w:rsid w:val="009F77A6"/>
    <w:rsid w:val="009F7CD7"/>
    <w:rsid w:val="009F7F25"/>
    <w:rsid w:val="00A0031D"/>
    <w:rsid w:val="00A0052E"/>
    <w:rsid w:val="00A00530"/>
    <w:rsid w:val="00A007D4"/>
    <w:rsid w:val="00A00825"/>
    <w:rsid w:val="00A00FBA"/>
    <w:rsid w:val="00A00FD9"/>
    <w:rsid w:val="00A0167B"/>
    <w:rsid w:val="00A01C40"/>
    <w:rsid w:val="00A021E3"/>
    <w:rsid w:val="00A024B4"/>
    <w:rsid w:val="00A026B1"/>
    <w:rsid w:val="00A02837"/>
    <w:rsid w:val="00A02882"/>
    <w:rsid w:val="00A029A2"/>
    <w:rsid w:val="00A0350F"/>
    <w:rsid w:val="00A0353B"/>
    <w:rsid w:val="00A03987"/>
    <w:rsid w:val="00A03B21"/>
    <w:rsid w:val="00A03D13"/>
    <w:rsid w:val="00A04CEC"/>
    <w:rsid w:val="00A05056"/>
    <w:rsid w:val="00A05379"/>
    <w:rsid w:val="00A0572C"/>
    <w:rsid w:val="00A059B4"/>
    <w:rsid w:val="00A05D65"/>
    <w:rsid w:val="00A05EC8"/>
    <w:rsid w:val="00A065C6"/>
    <w:rsid w:val="00A073B2"/>
    <w:rsid w:val="00A0763C"/>
    <w:rsid w:val="00A076A0"/>
    <w:rsid w:val="00A076FD"/>
    <w:rsid w:val="00A07737"/>
    <w:rsid w:val="00A07864"/>
    <w:rsid w:val="00A101D4"/>
    <w:rsid w:val="00A10224"/>
    <w:rsid w:val="00A10753"/>
    <w:rsid w:val="00A109B0"/>
    <w:rsid w:val="00A10C31"/>
    <w:rsid w:val="00A111AA"/>
    <w:rsid w:val="00A112D1"/>
    <w:rsid w:val="00A11D62"/>
    <w:rsid w:val="00A129B1"/>
    <w:rsid w:val="00A12B2D"/>
    <w:rsid w:val="00A12B73"/>
    <w:rsid w:val="00A12CE7"/>
    <w:rsid w:val="00A133CC"/>
    <w:rsid w:val="00A138C9"/>
    <w:rsid w:val="00A1397C"/>
    <w:rsid w:val="00A139A1"/>
    <w:rsid w:val="00A13B35"/>
    <w:rsid w:val="00A13BBF"/>
    <w:rsid w:val="00A13FF9"/>
    <w:rsid w:val="00A145BA"/>
    <w:rsid w:val="00A148DE"/>
    <w:rsid w:val="00A14C64"/>
    <w:rsid w:val="00A14E92"/>
    <w:rsid w:val="00A151BE"/>
    <w:rsid w:val="00A15302"/>
    <w:rsid w:val="00A15789"/>
    <w:rsid w:val="00A1598D"/>
    <w:rsid w:val="00A159E9"/>
    <w:rsid w:val="00A15C4C"/>
    <w:rsid w:val="00A160B1"/>
    <w:rsid w:val="00A160DA"/>
    <w:rsid w:val="00A164D8"/>
    <w:rsid w:val="00A165BA"/>
    <w:rsid w:val="00A16630"/>
    <w:rsid w:val="00A170F2"/>
    <w:rsid w:val="00A171B6"/>
    <w:rsid w:val="00A17276"/>
    <w:rsid w:val="00A174C1"/>
    <w:rsid w:val="00A17611"/>
    <w:rsid w:val="00A17BEF"/>
    <w:rsid w:val="00A20305"/>
    <w:rsid w:val="00A20692"/>
    <w:rsid w:val="00A20E0A"/>
    <w:rsid w:val="00A20F00"/>
    <w:rsid w:val="00A212D2"/>
    <w:rsid w:val="00A21A45"/>
    <w:rsid w:val="00A21EFF"/>
    <w:rsid w:val="00A21FF4"/>
    <w:rsid w:val="00A2232E"/>
    <w:rsid w:val="00A22479"/>
    <w:rsid w:val="00A226B0"/>
    <w:rsid w:val="00A22A6A"/>
    <w:rsid w:val="00A22FEB"/>
    <w:rsid w:val="00A2349E"/>
    <w:rsid w:val="00A23BDB"/>
    <w:rsid w:val="00A23C22"/>
    <w:rsid w:val="00A24085"/>
    <w:rsid w:val="00A244B5"/>
    <w:rsid w:val="00A247DD"/>
    <w:rsid w:val="00A24AC2"/>
    <w:rsid w:val="00A24D97"/>
    <w:rsid w:val="00A24DA3"/>
    <w:rsid w:val="00A24DD1"/>
    <w:rsid w:val="00A25201"/>
    <w:rsid w:val="00A252B0"/>
    <w:rsid w:val="00A25458"/>
    <w:rsid w:val="00A2568A"/>
    <w:rsid w:val="00A25A24"/>
    <w:rsid w:val="00A26321"/>
    <w:rsid w:val="00A26361"/>
    <w:rsid w:val="00A2637B"/>
    <w:rsid w:val="00A265F5"/>
    <w:rsid w:val="00A267F9"/>
    <w:rsid w:val="00A26C06"/>
    <w:rsid w:val="00A270A2"/>
    <w:rsid w:val="00A274B5"/>
    <w:rsid w:val="00A276CD"/>
    <w:rsid w:val="00A27D27"/>
    <w:rsid w:val="00A27E88"/>
    <w:rsid w:val="00A300B9"/>
    <w:rsid w:val="00A30212"/>
    <w:rsid w:val="00A304B8"/>
    <w:rsid w:val="00A30543"/>
    <w:rsid w:val="00A309E8"/>
    <w:rsid w:val="00A30A91"/>
    <w:rsid w:val="00A30BFC"/>
    <w:rsid w:val="00A30FCD"/>
    <w:rsid w:val="00A310AC"/>
    <w:rsid w:val="00A3145D"/>
    <w:rsid w:val="00A315FA"/>
    <w:rsid w:val="00A31724"/>
    <w:rsid w:val="00A32108"/>
    <w:rsid w:val="00A3210B"/>
    <w:rsid w:val="00A32208"/>
    <w:rsid w:val="00A3286D"/>
    <w:rsid w:val="00A32A58"/>
    <w:rsid w:val="00A32CA9"/>
    <w:rsid w:val="00A3310D"/>
    <w:rsid w:val="00A33199"/>
    <w:rsid w:val="00A331F1"/>
    <w:rsid w:val="00A3391E"/>
    <w:rsid w:val="00A339DA"/>
    <w:rsid w:val="00A33CC2"/>
    <w:rsid w:val="00A34286"/>
    <w:rsid w:val="00A343C1"/>
    <w:rsid w:val="00A34448"/>
    <w:rsid w:val="00A34579"/>
    <w:rsid w:val="00A345F7"/>
    <w:rsid w:val="00A3470B"/>
    <w:rsid w:val="00A349CB"/>
    <w:rsid w:val="00A34BB8"/>
    <w:rsid w:val="00A34CF0"/>
    <w:rsid w:val="00A35000"/>
    <w:rsid w:val="00A3507F"/>
    <w:rsid w:val="00A3531F"/>
    <w:rsid w:val="00A35992"/>
    <w:rsid w:val="00A35DBC"/>
    <w:rsid w:val="00A35F86"/>
    <w:rsid w:val="00A3619B"/>
    <w:rsid w:val="00A36550"/>
    <w:rsid w:val="00A365AD"/>
    <w:rsid w:val="00A365EC"/>
    <w:rsid w:val="00A369ED"/>
    <w:rsid w:val="00A36CD2"/>
    <w:rsid w:val="00A36F78"/>
    <w:rsid w:val="00A37257"/>
    <w:rsid w:val="00A37A8C"/>
    <w:rsid w:val="00A37FDF"/>
    <w:rsid w:val="00A401D3"/>
    <w:rsid w:val="00A40669"/>
    <w:rsid w:val="00A406E5"/>
    <w:rsid w:val="00A40D81"/>
    <w:rsid w:val="00A40F06"/>
    <w:rsid w:val="00A41233"/>
    <w:rsid w:val="00A413DA"/>
    <w:rsid w:val="00A41756"/>
    <w:rsid w:val="00A41864"/>
    <w:rsid w:val="00A41B08"/>
    <w:rsid w:val="00A41BA3"/>
    <w:rsid w:val="00A42128"/>
    <w:rsid w:val="00A421FF"/>
    <w:rsid w:val="00A42399"/>
    <w:rsid w:val="00A424F9"/>
    <w:rsid w:val="00A4270F"/>
    <w:rsid w:val="00A428E9"/>
    <w:rsid w:val="00A42957"/>
    <w:rsid w:val="00A42EEB"/>
    <w:rsid w:val="00A43209"/>
    <w:rsid w:val="00A43365"/>
    <w:rsid w:val="00A43D8C"/>
    <w:rsid w:val="00A43FAB"/>
    <w:rsid w:val="00A44389"/>
    <w:rsid w:val="00A443DB"/>
    <w:rsid w:val="00A44652"/>
    <w:rsid w:val="00A44B07"/>
    <w:rsid w:val="00A4503E"/>
    <w:rsid w:val="00A45229"/>
    <w:rsid w:val="00A45596"/>
    <w:rsid w:val="00A4592C"/>
    <w:rsid w:val="00A45C2E"/>
    <w:rsid w:val="00A45EF0"/>
    <w:rsid w:val="00A45F2E"/>
    <w:rsid w:val="00A46AFD"/>
    <w:rsid w:val="00A46E2D"/>
    <w:rsid w:val="00A46EFC"/>
    <w:rsid w:val="00A470F5"/>
    <w:rsid w:val="00A4757B"/>
    <w:rsid w:val="00A477B5"/>
    <w:rsid w:val="00A47F9C"/>
    <w:rsid w:val="00A47FB7"/>
    <w:rsid w:val="00A50105"/>
    <w:rsid w:val="00A50264"/>
    <w:rsid w:val="00A5029E"/>
    <w:rsid w:val="00A5074E"/>
    <w:rsid w:val="00A50952"/>
    <w:rsid w:val="00A50A39"/>
    <w:rsid w:val="00A50B61"/>
    <w:rsid w:val="00A51298"/>
    <w:rsid w:val="00A515CA"/>
    <w:rsid w:val="00A51753"/>
    <w:rsid w:val="00A52157"/>
    <w:rsid w:val="00A521C1"/>
    <w:rsid w:val="00A524F4"/>
    <w:rsid w:val="00A5261E"/>
    <w:rsid w:val="00A5272D"/>
    <w:rsid w:val="00A52935"/>
    <w:rsid w:val="00A529A9"/>
    <w:rsid w:val="00A52AB4"/>
    <w:rsid w:val="00A53584"/>
    <w:rsid w:val="00A5470F"/>
    <w:rsid w:val="00A548D9"/>
    <w:rsid w:val="00A54A4A"/>
    <w:rsid w:val="00A54BFA"/>
    <w:rsid w:val="00A5514C"/>
    <w:rsid w:val="00A55882"/>
    <w:rsid w:val="00A55C8D"/>
    <w:rsid w:val="00A55FF1"/>
    <w:rsid w:val="00A56C16"/>
    <w:rsid w:val="00A57261"/>
    <w:rsid w:val="00A57743"/>
    <w:rsid w:val="00A578CF"/>
    <w:rsid w:val="00A578D5"/>
    <w:rsid w:val="00A57B8B"/>
    <w:rsid w:val="00A604FD"/>
    <w:rsid w:val="00A60875"/>
    <w:rsid w:val="00A60C15"/>
    <w:rsid w:val="00A60EFC"/>
    <w:rsid w:val="00A615F8"/>
    <w:rsid w:val="00A61720"/>
    <w:rsid w:val="00A61A5B"/>
    <w:rsid w:val="00A620E3"/>
    <w:rsid w:val="00A62506"/>
    <w:rsid w:val="00A62F06"/>
    <w:rsid w:val="00A6362D"/>
    <w:rsid w:val="00A6373B"/>
    <w:rsid w:val="00A637D4"/>
    <w:rsid w:val="00A64452"/>
    <w:rsid w:val="00A64635"/>
    <w:rsid w:val="00A6498F"/>
    <w:rsid w:val="00A64A61"/>
    <w:rsid w:val="00A64B6C"/>
    <w:rsid w:val="00A64C54"/>
    <w:rsid w:val="00A65727"/>
    <w:rsid w:val="00A65BE2"/>
    <w:rsid w:val="00A65E67"/>
    <w:rsid w:val="00A66286"/>
    <w:rsid w:val="00A66718"/>
    <w:rsid w:val="00A66ADB"/>
    <w:rsid w:val="00A66C12"/>
    <w:rsid w:val="00A66D58"/>
    <w:rsid w:val="00A670B6"/>
    <w:rsid w:val="00A6771C"/>
    <w:rsid w:val="00A678C7"/>
    <w:rsid w:val="00A678DF"/>
    <w:rsid w:val="00A7001E"/>
    <w:rsid w:val="00A7038B"/>
    <w:rsid w:val="00A70471"/>
    <w:rsid w:val="00A7101D"/>
    <w:rsid w:val="00A71471"/>
    <w:rsid w:val="00A71526"/>
    <w:rsid w:val="00A71537"/>
    <w:rsid w:val="00A71626"/>
    <w:rsid w:val="00A716F2"/>
    <w:rsid w:val="00A716FF"/>
    <w:rsid w:val="00A719D3"/>
    <w:rsid w:val="00A71E3F"/>
    <w:rsid w:val="00A720DD"/>
    <w:rsid w:val="00A72928"/>
    <w:rsid w:val="00A73328"/>
    <w:rsid w:val="00A7358A"/>
    <w:rsid w:val="00A73B01"/>
    <w:rsid w:val="00A741CF"/>
    <w:rsid w:val="00A744D7"/>
    <w:rsid w:val="00A746A9"/>
    <w:rsid w:val="00A749C0"/>
    <w:rsid w:val="00A74CCD"/>
    <w:rsid w:val="00A74F47"/>
    <w:rsid w:val="00A75130"/>
    <w:rsid w:val="00A755D7"/>
    <w:rsid w:val="00A75675"/>
    <w:rsid w:val="00A76482"/>
    <w:rsid w:val="00A764DE"/>
    <w:rsid w:val="00A7662A"/>
    <w:rsid w:val="00A76BDB"/>
    <w:rsid w:val="00A76C4D"/>
    <w:rsid w:val="00A76CDF"/>
    <w:rsid w:val="00A7759F"/>
    <w:rsid w:val="00A7779B"/>
    <w:rsid w:val="00A77CD6"/>
    <w:rsid w:val="00A80B85"/>
    <w:rsid w:val="00A80F48"/>
    <w:rsid w:val="00A811D8"/>
    <w:rsid w:val="00A81292"/>
    <w:rsid w:val="00A818CE"/>
    <w:rsid w:val="00A818E5"/>
    <w:rsid w:val="00A81F3A"/>
    <w:rsid w:val="00A81FB6"/>
    <w:rsid w:val="00A82142"/>
    <w:rsid w:val="00A82270"/>
    <w:rsid w:val="00A82F32"/>
    <w:rsid w:val="00A835DA"/>
    <w:rsid w:val="00A83AE0"/>
    <w:rsid w:val="00A84417"/>
    <w:rsid w:val="00A84528"/>
    <w:rsid w:val="00A84720"/>
    <w:rsid w:val="00A84B04"/>
    <w:rsid w:val="00A84C4D"/>
    <w:rsid w:val="00A84C82"/>
    <w:rsid w:val="00A84F70"/>
    <w:rsid w:val="00A857E7"/>
    <w:rsid w:val="00A85821"/>
    <w:rsid w:val="00A859B6"/>
    <w:rsid w:val="00A85B59"/>
    <w:rsid w:val="00A85E7F"/>
    <w:rsid w:val="00A862A0"/>
    <w:rsid w:val="00A8631B"/>
    <w:rsid w:val="00A8646E"/>
    <w:rsid w:val="00A86512"/>
    <w:rsid w:val="00A8680E"/>
    <w:rsid w:val="00A8697B"/>
    <w:rsid w:val="00A86BBE"/>
    <w:rsid w:val="00A8767E"/>
    <w:rsid w:val="00A878C7"/>
    <w:rsid w:val="00A90360"/>
    <w:rsid w:val="00A90740"/>
    <w:rsid w:val="00A910F3"/>
    <w:rsid w:val="00A91307"/>
    <w:rsid w:val="00A9136B"/>
    <w:rsid w:val="00A91C8A"/>
    <w:rsid w:val="00A92196"/>
    <w:rsid w:val="00A9228F"/>
    <w:rsid w:val="00A924D2"/>
    <w:rsid w:val="00A92667"/>
    <w:rsid w:val="00A92AC2"/>
    <w:rsid w:val="00A92BF8"/>
    <w:rsid w:val="00A9332F"/>
    <w:rsid w:val="00A935C8"/>
    <w:rsid w:val="00A93881"/>
    <w:rsid w:val="00A93ACD"/>
    <w:rsid w:val="00A93B1F"/>
    <w:rsid w:val="00A93CB3"/>
    <w:rsid w:val="00A9434D"/>
    <w:rsid w:val="00A9457C"/>
    <w:rsid w:val="00A94730"/>
    <w:rsid w:val="00A94E14"/>
    <w:rsid w:val="00A95088"/>
    <w:rsid w:val="00A95236"/>
    <w:rsid w:val="00A9578F"/>
    <w:rsid w:val="00A957E0"/>
    <w:rsid w:val="00A959A2"/>
    <w:rsid w:val="00A95B6F"/>
    <w:rsid w:val="00A95BB2"/>
    <w:rsid w:val="00A95C2A"/>
    <w:rsid w:val="00A95F5F"/>
    <w:rsid w:val="00A96343"/>
    <w:rsid w:val="00A967A2"/>
    <w:rsid w:val="00A967AE"/>
    <w:rsid w:val="00A96C6F"/>
    <w:rsid w:val="00A9716D"/>
    <w:rsid w:val="00A97188"/>
    <w:rsid w:val="00A97215"/>
    <w:rsid w:val="00A9735D"/>
    <w:rsid w:val="00A97415"/>
    <w:rsid w:val="00A97594"/>
    <w:rsid w:val="00A97733"/>
    <w:rsid w:val="00A9795C"/>
    <w:rsid w:val="00A97D72"/>
    <w:rsid w:val="00AA03C2"/>
    <w:rsid w:val="00AA069C"/>
    <w:rsid w:val="00AA06F7"/>
    <w:rsid w:val="00AA0B5B"/>
    <w:rsid w:val="00AA1574"/>
    <w:rsid w:val="00AA17A6"/>
    <w:rsid w:val="00AA17CB"/>
    <w:rsid w:val="00AA1D35"/>
    <w:rsid w:val="00AA1FF1"/>
    <w:rsid w:val="00AA20AA"/>
    <w:rsid w:val="00AA20C2"/>
    <w:rsid w:val="00AA2193"/>
    <w:rsid w:val="00AA26A4"/>
    <w:rsid w:val="00AA291E"/>
    <w:rsid w:val="00AA2989"/>
    <w:rsid w:val="00AA2A23"/>
    <w:rsid w:val="00AA2B89"/>
    <w:rsid w:val="00AA2FDD"/>
    <w:rsid w:val="00AA32A7"/>
    <w:rsid w:val="00AA343A"/>
    <w:rsid w:val="00AA3F4F"/>
    <w:rsid w:val="00AA439B"/>
    <w:rsid w:val="00AA44DC"/>
    <w:rsid w:val="00AA4584"/>
    <w:rsid w:val="00AA4D03"/>
    <w:rsid w:val="00AA52B7"/>
    <w:rsid w:val="00AA5419"/>
    <w:rsid w:val="00AA5A52"/>
    <w:rsid w:val="00AA5DBE"/>
    <w:rsid w:val="00AA612D"/>
    <w:rsid w:val="00AA6233"/>
    <w:rsid w:val="00AA6292"/>
    <w:rsid w:val="00AA67A9"/>
    <w:rsid w:val="00AA6C76"/>
    <w:rsid w:val="00AA6D50"/>
    <w:rsid w:val="00AA6EB7"/>
    <w:rsid w:val="00AA6F9E"/>
    <w:rsid w:val="00AA7E53"/>
    <w:rsid w:val="00AB043D"/>
    <w:rsid w:val="00AB0589"/>
    <w:rsid w:val="00AB0722"/>
    <w:rsid w:val="00AB0B76"/>
    <w:rsid w:val="00AB193B"/>
    <w:rsid w:val="00AB1963"/>
    <w:rsid w:val="00AB1B36"/>
    <w:rsid w:val="00AB2315"/>
    <w:rsid w:val="00AB2509"/>
    <w:rsid w:val="00AB2836"/>
    <w:rsid w:val="00AB2922"/>
    <w:rsid w:val="00AB2940"/>
    <w:rsid w:val="00AB2D4F"/>
    <w:rsid w:val="00AB314A"/>
    <w:rsid w:val="00AB408F"/>
    <w:rsid w:val="00AB43EF"/>
    <w:rsid w:val="00AB488B"/>
    <w:rsid w:val="00AB4B7D"/>
    <w:rsid w:val="00AB4BCF"/>
    <w:rsid w:val="00AB4D7B"/>
    <w:rsid w:val="00AB50DE"/>
    <w:rsid w:val="00AB50F3"/>
    <w:rsid w:val="00AB5328"/>
    <w:rsid w:val="00AB546C"/>
    <w:rsid w:val="00AB59A8"/>
    <w:rsid w:val="00AB5AC5"/>
    <w:rsid w:val="00AB5C6D"/>
    <w:rsid w:val="00AB5D65"/>
    <w:rsid w:val="00AB61A3"/>
    <w:rsid w:val="00AB67E0"/>
    <w:rsid w:val="00AB68C3"/>
    <w:rsid w:val="00AB68D7"/>
    <w:rsid w:val="00AB701D"/>
    <w:rsid w:val="00AB7129"/>
    <w:rsid w:val="00AB7163"/>
    <w:rsid w:val="00AB721F"/>
    <w:rsid w:val="00AB73DE"/>
    <w:rsid w:val="00AB745E"/>
    <w:rsid w:val="00AB74BD"/>
    <w:rsid w:val="00AB7504"/>
    <w:rsid w:val="00AB754F"/>
    <w:rsid w:val="00AB7661"/>
    <w:rsid w:val="00AB7DB6"/>
    <w:rsid w:val="00AC0262"/>
    <w:rsid w:val="00AC02B2"/>
    <w:rsid w:val="00AC0B0C"/>
    <w:rsid w:val="00AC0B3F"/>
    <w:rsid w:val="00AC15BA"/>
    <w:rsid w:val="00AC1D0A"/>
    <w:rsid w:val="00AC1D44"/>
    <w:rsid w:val="00AC1DF2"/>
    <w:rsid w:val="00AC1F7B"/>
    <w:rsid w:val="00AC2156"/>
    <w:rsid w:val="00AC21D4"/>
    <w:rsid w:val="00AC273D"/>
    <w:rsid w:val="00AC28EE"/>
    <w:rsid w:val="00AC2BCF"/>
    <w:rsid w:val="00AC3026"/>
    <w:rsid w:val="00AC3CB1"/>
    <w:rsid w:val="00AC42F7"/>
    <w:rsid w:val="00AC4559"/>
    <w:rsid w:val="00AC462C"/>
    <w:rsid w:val="00AC4B09"/>
    <w:rsid w:val="00AC4C17"/>
    <w:rsid w:val="00AC4FA6"/>
    <w:rsid w:val="00AC5301"/>
    <w:rsid w:val="00AC5550"/>
    <w:rsid w:val="00AC599A"/>
    <w:rsid w:val="00AC5A33"/>
    <w:rsid w:val="00AC5B1E"/>
    <w:rsid w:val="00AC5D59"/>
    <w:rsid w:val="00AC63D7"/>
    <w:rsid w:val="00AC64C3"/>
    <w:rsid w:val="00AC68C2"/>
    <w:rsid w:val="00AC6D8D"/>
    <w:rsid w:val="00AC6DBC"/>
    <w:rsid w:val="00AC6E2B"/>
    <w:rsid w:val="00AC6FF3"/>
    <w:rsid w:val="00AC722A"/>
    <w:rsid w:val="00AC7AB5"/>
    <w:rsid w:val="00AC7F56"/>
    <w:rsid w:val="00AD0236"/>
    <w:rsid w:val="00AD0334"/>
    <w:rsid w:val="00AD04C3"/>
    <w:rsid w:val="00AD056C"/>
    <w:rsid w:val="00AD069A"/>
    <w:rsid w:val="00AD0EA9"/>
    <w:rsid w:val="00AD12A5"/>
    <w:rsid w:val="00AD18CC"/>
    <w:rsid w:val="00AD19AA"/>
    <w:rsid w:val="00AD1AD5"/>
    <w:rsid w:val="00AD209D"/>
    <w:rsid w:val="00AD2A65"/>
    <w:rsid w:val="00AD2E0D"/>
    <w:rsid w:val="00AD33A5"/>
    <w:rsid w:val="00AD399B"/>
    <w:rsid w:val="00AD3A65"/>
    <w:rsid w:val="00AD3EAC"/>
    <w:rsid w:val="00AD4109"/>
    <w:rsid w:val="00AD439A"/>
    <w:rsid w:val="00AD4583"/>
    <w:rsid w:val="00AD49D1"/>
    <w:rsid w:val="00AD4BC2"/>
    <w:rsid w:val="00AD4CBB"/>
    <w:rsid w:val="00AD4D81"/>
    <w:rsid w:val="00AD52EC"/>
    <w:rsid w:val="00AD5644"/>
    <w:rsid w:val="00AD578E"/>
    <w:rsid w:val="00AD5815"/>
    <w:rsid w:val="00AD5B50"/>
    <w:rsid w:val="00AD5D90"/>
    <w:rsid w:val="00AD6378"/>
    <w:rsid w:val="00AD6419"/>
    <w:rsid w:val="00AD644F"/>
    <w:rsid w:val="00AD66AB"/>
    <w:rsid w:val="00AD7091"/>
    <w:rsid w:val="00AD7152"/>
    <w:rsid w:val="00AD71D2"/>
    <w:rsid w:val="00AD7B94"/>
    <w:rsid w:val="00AD7F19"/>
    <w:rsid w:val="00AE00BD"/>
    <w:rsid w:val="00AE0522"/>
    <w:rsid w:val="00AE0E48"/>
    <w:rsid w:val="00AE107A"/>
    <w:rsid w:val="00AE10B9"/>
    <w:rsid w:val="00AE1147"/>
    <w:rsid w:val="00AE1239"/>
    <w:rsid w:val="00AE19EA"/>
    <w:rsid w:val="00AE1C1A"/>
    <w:rsid w:val="00AE1E10"/>
    <w:rsid w:val="00AE1F03"/>
    <w:rsid w:val="00AE2CAA"/>
    <w:rsid w:val="00AE3C25"/>
    <w:rsid w:val="00AE3C82"/>
    <w:rsid w:val="00AE3D1E"/>
    <w:rsid w:val="00AE3D8E"/>
    <w:rsid w:val="00AE3F84"/>
    <w:rsid w:val="00AE441E"/>
    <w:rsid w:val="00AE4585"/>
    <w:rsid w:val="00AE4620"/>
    <w:rsid w:val="00AE4634"/>
    <w:rsid w:val="00AE46BB"/>
    <w:rsid w:val="00AE47AA"/>
    <w:rsid w:val="00AE4EB4"/>
    <w:rsid w:val="00AE5081"/>
    <w:rsid w:val="00AE5211"/>
    <w:rsid w:val="00AE5996"/>
    <w:rsid w:val="00AE59FB"/>
    <w:rsid w:val="00AE5FD8"/>
    <w:rsid w:val="00AE60B2"/>
    <w:rsid w:val="00AE6666"/>
    <w:rsid w:val="00AE669A"/>
    <w:rsid w:val="00AE681E"/>
    <w:rsid w:val="00AE6EC6"/>
    <w:rsid w:val="00AE78FF"/>
    <w:rsid w:val="00AE79A3"/>
    <w:rsid w:val="00AE7C45"/>
    <w:rsid w:val="00AF00F2"/>
    <w:rsid w:val="00AF09C6"/>
    <w:rsid w:val="00AF0A6C"/>
    <w:rsid w:val="00AF0B1E"/>
    <w:rsid w:val="00AF0EBF"/>
    <w:rsid w:val="00AF0F37"/>
    <w:rsid w:val="00AF1050"/>
    <w:rsid w:val="00AF1167"/>
    <w:rsid w:val="00AF1AD6"/>
    <w:rsid w:val="00AF1B6B"/>
    <w:rsid w:val="00AF1C5B"/>
    <w:rsid w:val="00AF1F18"/>
    <w:rsid w:val="00AF2484"/>
    <w:rsid w:val="00AF2511"/>
    <w:rsid w:val="00AF25BF"/>
    <w:rsid w:val="00AF2611"/>
    <w:rsid w:val="00AF28A7"/>
    <w:rsid w:val="00AF2F20"/>
    <w:rsid w:val="00AF38AC"/>
    <w:rsid w:val="00AF3F26"/>
    <w:rsid w:val="00AF4470"/>
    <w:rsid w:val="00AF464B"/>
    <w:rsid w:val="00AF4891"/>
    <w:rsid w:val="00AF48BF"/>
    <w:rsid w:val="00AF49B7"/>
    <w:rsid w:val="00AF4A0D"/>
    <w:rsid w:val="00AF4B8D"/>
    <w:rsid w:val="00AF4F96"/>
    <w:rsid w:val="00AF593F"/>
    <w:rsid w:val="00AF65D9"/>
    <w:rsid w:val="00AF682A"/>
    <w:rsid w:val="00AF6CB5"/>
    <w:rsid w:val="00AF6D76"/>
    <w:rsid w:val="00AF6D82"/>
    <w:rsid w:val="00AF6D83"/>
    <w:rsid w:val="00AF7926"/>
    <w:rsid w:val="00AF7D30"/>
    <w:rsid w:val="00AF7DA7"/>
    <w:rsid w:val="00B0026B"/>
    <w:rsid w:val="00B00371"/>
    <w:rsid w:val="00B006A9"/>
    <w:rsid w:val="00B00830"/>
    <w:rsid w:val="00B01B7B"/>
    <w:rsid w:val="00B021E3"/>
    <w:rsid w:val="00B0222B"/>
    <w:rsid w:val="00B02702"/>
    <w:rsid w:val="00B028B0"/>
    <w:rsid w:val="00B02954"/>
    <w:rsid w:val="00B02A04"/>
    <w:rsid w:val="00B02EC1"/>
    <w:rsid w:val="00B02EEB"/>
    <w:rsid w:val="00B03BB1"/>
    <w:rsid w:val="00B03CB7"/>
    <w:rsid w:val="00B042F4"/>
    <w:rsid w:val="00B04664"/>
    <w:rsid w:val="00B04676"/>
    <w:rsid w:val="00B04687"/>
    <w:rsid w:val="00B04EF8"/>
    <w:rsid w:val="00B050A8"/>
    <w:rsid w:val="00B05A08"/>
    <w:rsid w:val="00B05C30"/>
    <w:rsid w:val="00B05E22"/>
    <w:rsid w:val="00B05F61"/>
    <w:rsid w:val="00B0641A"/>
    <w:rsid w:val="00B0661A"/>
    <w:rsid w:val="00B066A1"/>
    <w:rsid w:val="00B06D27"/>
    <w:rsid w:val="00B06E59"/>
    <w:rsid w:val="00B07567"/>
    <w:rsid w:val="00B0765E"/>
    <w:rsid w:val="00B0781D"/>
    <w:rsid w:val="00B07A6B"/>
    <w:rsid w:val="00B07F4E"/>
    <w:rsid w:val="00B1001C"/>
    <w:rsid w:val="00B10035"/>
    <w:rsid w:val="00B1014A"/>
    <w:rsid w:val="00B1031A"/>
    <w:rsid w:val="00B10395"/>
    <w:rsid w:val="00B10D40"/>
    <w:rsid w:val="00B1160C"/>
    <w:rsid w:val="00B11BA5"/>
    <w:rsid w:val="00B11CBD"/>
    <w:rsid w:val="00B12028"/>
    <w:rsid w:val="00B12541"/>
    <w:rsid w:val="00B12824"/>
    <w:rsid w:val="00B1283E"/>
    <w:rsid w:val="00B1286E"/>
    <w:rsid w:val="00B1294B"/>
    <w:rsid w:val="00B12B3E"/>
    <w:rsid w:val="00B13290"/>
    <w:rsid w:val="00B13607"/>
    <w:rsid w:val="00B13696"/>
    <w:rsid w:val="00B13B7B"/>
    <w:rsid w:val="00B14236"/>
    <w:rsid w:val="00B146B1"/>
    <w:rsid w:val="00B14878"/>
    <w:rsid w:val="00B14DAB"/>
    <w:rsid w:val="00B154BD"/>
    <w:rsid w:val="00B15501"/>
    <w:rsid w:val="00B15731"/>
    <w:rsid w:val="00B1575B"/>
    <w:rsid w:val="00B160D2"/>
    <w:rsid w:val="00B16588"/>
    <w:rsid w:val="00B16B71"/>
    <w:rsid w:val="00B16F25"/>
    <w:rsid w:val="00B16FCC"/>
    <w:rsid w:val="00B17631"/>
    <w:rsid w:val="00B17634"/>
    <w:rsid w:val="00B178E3"/>
    <w:rsid w:val="00B17CBB"/>
    <w:rsid w:val="00B200C8"/>
    <w:rsid w:val="00B2071E"/>
    <w:rsid w:val="00B20AD1"/>
    <w:rsid w:val="00B20DD0"/>
    <w:rsid w:val="00B20EBE"/>
    <w:rsid w:val="00B20F96"/>
    <w:rsid w:val="00B21109"/>
    <w:rsid w:val="00B21491"/>
    <w:rsid w:val="00B215C8"/>
    <w:rsid w:val="00B2170A"/>
    <w:rsid w:val="00B22570"/>
    <w:rsid w:val="00B22605"/>
    <w:rsid w:val="00B22868"/>
    <w:rsid w:val="00B22B17"/>
    <w:rsid w:val="00B22B74"/>
    <w:rsid w:val="00B22B93"/>
    <w:rsid w:val="00B22DD0"/>
    <w:rsid w:val="00B23B1D"/>
    <w:rsid w:val="00B23C8D"/>
    <w:rsid w:val="00B23EE8"/>
    <w:rsid w:val="00B2413F"/>
    <w:rsid w:val="00B24374"/>
    <w:rsid w:val="00B246BC"/>
    <w:rsid w:val="00B24702"/>
    <w:rsid w:val="00B24972"/>
    <w:rsid w:val="00B24B71"/>
    <w:rsid w:val="00B24C4A"/>
    <w:rsid w:val="00B24D56"/>
    <w:rsid w:val="00B25030"/>
    <w:rsid w:val="00B254AC"/>
    <w:rsid w:val="00B254C4"/>
    <w:rsid w:val="00B25794"/>
    <w:rsid w:val="00B258F7"/>
    <w:rsid w:val="00B26250"/>
    <w:rsid w:val="00B26732"/>
    <w:rsid w:val="00B26912"/>
    <w:rsid w:val="00B26B4D"/>
    <w:rsid w:val="00B26F7A"/>
    <w:rsid w:val="00B2727C"/>
    <w:rsid w:val="00B2777B"/>
    <w:rsid w:val="00B27BF1"/>
    <w:rsid w:val="00B27D5A"/>
    <w:rsid w:val="00B30001"/>
    <w:rsid w:val="00B30444"/>
    <w:rsid w:val="00B30737"/>
    <w:rsid w:val="00B30D53"/>
    <w:rsid w:val="00B31279"/>
    <w:rsid w:val="00B312AA"/>
    <w:rsid w:val="00B31338"/>
    <w:rsid w:val="00B31436"/>
    <w:rsid w:val="00B31D09"/>
    <w:rsid w:val="00B31FBF"/>
    <w:rsid w:val="00B3208D"/>
    <w:rsid w:val="00B320CB"/>
    <w:rsid w:val="00B32262"/>
    <w:rsid w:val="00B323DF"/>
    <w:rsid w:val="00B325CB"/>
    <w:rsid w:val="00B32833"/>
    <w:rsid w:val="00B328C8"/>
    <w:rsid w:val="00B33558"/>
    <w:rsid w:val="00B336BC"/>
    <w:rsid w:val="00B339DB"/>
    <w:rsid w:val="00B34366"/>
    <w:rsid w:val="00B349CD"/>
    <w:rsid w:val="00B34A05"/>
    <w:rsid w:val="00B351E2"/>
    <w:rsid w:val="00B353B1"/>
    <w:rsid w:val="00B3554F"/>
    <w:rsid w:val="00B359F8"/>
    <w:rsid w:val="00B3679E"/>
    <w:rsid w:val="00B367F8"/>
    <w:rsid w:val="00B37AD3"/>
    <w:rsid w:val="00B37CAE"/>
    <w:rsid w:val="00B37CB2"/>
    <w:rsid w:val="00B37D9F"/>
    <w:rsid w:val="00B400A3"/>
    <w:rsid w:val="00B402F5"/>
    <w:rsid w:val="00B40721"/>
    <w:rsid w:val="00B40F1C"/>
    <w:rsid w:val="00B40F1D"/>
    <w:rsid w:val="00B40F73"/>
    <w:rsid w:val="00B41010"/>
    <w:rsid w:val="00B4139C"/>
    <w:rsid w:val="00B41746"/>
    <w:rsid w:val="00B41AB7"/>
    <w:rsid w:val="00B41F2E"/>
    <w:rsid w:val="00B4286B"/>
    <w:rsid w:val="00B42D7C"/>
    <w:rsid w:val="00B431E6"/>
    <w:rsid w:val="00B4356D"/>
    <w:rsid w:val="00B435AD"/>
    <w:rsid w:val="00B43C6B"/>
    <w:rsid w:val="00B43DB4"/>
    <w:rsid w:val="00B43F43"/>
    <w:rsid w:val="00B43FF9"/>
    <w:rsid w:val="00B4424D"/>
    <w:rsid w:val="00B44389"/>
    <w:rsid w:val="00B4446A"/>
    <w:rsid w:val="00B44AB0"/>
    <w:rsid w:val="00B44BA4"/>
    <w:rsid w:val="00B44C52"/>
    <w:rsid w:val="00B44F60"/>
    <w:rsid w:val="00B4555B"/>
    <w:rsid w:val="00B46873"/>
    <w:rsid w:val="00B4750A"/>
    <w:rsid w:val="00B47B23"/>
    <w:rsid w:val="00B47C45"/>
    <w:rsid w:val="00B47FED"/>
    <w:rsid w:val="00B5024A"/>
    <w:rsid w:val="00B5147C"/>
    <w:rsid w:val="00B5160E"/>
    <w:rsid w:val="00B51789"/>
    <w:rsid w:val="00B518E7"/>
    <w:rsid w:val="00B51AAF"/>
    <w:rsid w:val="00B51BD6"/>
    <w:rsid w:val="00B51E2B"/>
    <w:rsid w:val="00B51EB4"/>
    <w:rsid w:val="00B51FB0"/>
    <w:rsid w:val="00B52019"/>
    <w:rsid w:val="00B520B7"/>
    <w:rsid w:val="00B521EC"/>
    <w:rsid w:val="00B52282"/>
    <w:rsid w:val="00B527B4"/>
    <w:rsid w:val="00B52883"/>
    <w:rsid w:val="00B528E3"/>
    <w:rsid w:val="00B529F0"/>
    <w:rsid w:val="00B52BF7"/>
    <w:rsid w:val="00B52EBC"/>
    <w:rsid w:val="00B5310D"/>
    <w:rsid w:val="00B53154"/>
    <w:rsid w:val="00B54082"/>
    <w:rsid w:val="00B5463F"/>
    <w:rsid w:val="00B551D7"/>
    <w:rsid w:val="00B55435"/>
    <w:rsid w:val="00B5551A"/>
    <w:rsid w:val="00B55648"/>
    <w:rsid w:val="00B55E76"/>
    <w:rsid w:val="00B55FAC"/>
    <w:rsid w:val="00B569B1"/>
    <w:rsid w:val="00B56C6C"/>
    <w:rsid w:val="00B56C75"/>
    <w:rsid w:val="00B56F08"/>
    <w:rsid w:val="00B57520"/>
    <w:rsid w:val="00B57B75"/>
    <w:rsid w:val="00B57E83"/>
    <w:rsid w:val="00B60458"/>
    <w:rsid w:val="00B605BD"/>
    <w:rsid w:val="00B6088E"/>
    <w:rsid w:val="00B609C4"/>
    <w:rsid w:val="00B60A51"/>
    <w:rsid w:val="00B615D6"/>
    <w:rsid w:val="00B61C38"/>
    <w:rsid w:val="00B62194"/>
    <w:rsid w:val="00B62271"/>
    <w:rsid w:val="00B62444"/>
    <w:rsid w:val="00B6266E"/>
    <w:rsid w:val="00B62C56"/>
    <w:rsid w:val="00B62E13"/>
    <w:rsid w:val="00B62E77"/>
    <w:rsid w:val="00B631C8"/>
    <w:rsid w:val="00B63290"/>
    <w:rsid w:val="00B636A2"/>
    <w:rsid w:val="00B63B48"/>
    <w:rsid w:val="00B63C82"/>
    <w:rsid w:val="00B63D0D"/>
    <w:rsid w:val="00B63F3A"/>
    <w:rsid w:val="00B6425D"/>
    <w:rsid w:val="00B64510"/>
    <w:rsid w:val="00B649E0"/>
    <w:rsid w:val="00B64FFF"/>
    <w:rsid w:val="00B65074"/>
    <w:rsid w:val="00B65C66"/>
    <w:rsid w:val="00B65D8F"/>
    <w:rsid w:val="00B6633A"/>
    <w:rsid w:val="00B6648F"/>
    <w:rsid w:val="00B66844"/>
    <w:rsid w:val="00B669E2"/>
    <w:rsid w:val="00B66CFC"/>
    <w:rsid w:val="00B66DF8"/>
    <w:rsid w:val="00B67133"/>
    <w:rsid w:val="00B671BD"/>
    <w:rsid w:val="00B67551"/>
    <w:rsid w:val="00B6769E"/>
    <w:rsid w:val="00B67D1F"/>
    <w:rsid w:val="00B67E55"/>
    <w:rsid w:val="00B67F6A"/>
    <w:rsid w:val="00B67FDC"/>
    <w:rsid w:val="00B706E1"/>
    <w:rsid w:val="00B70B97"/>
    <w:rsid w:val="00B70DFC"/>
    <w:rsid w:val="00B70E01"/>
    <w:rsid w:val="00B71472"/>
    <w:rsid w:val="00B71676"/>
    <w:rsid w:val="00B7182E"/>
    <w:rsid w:val="00B7217D"/>
    <w:rsid w:val="00B7231F"/>
    <w:rsid w:val="00B726A2"/>
    <w:rsid w:val="00B72CBB"/>
    <w:rsid w:val="00B736EB"/>
    <w:rsid w:val="00B73AAE"/>
    <w:rsid w:val="00B7410F"/>
    <w:rsid w:val="00B744AA"/>
    <w:rsid w:val="00B74BBB"/>
    <w:rsid w:val="00B75019"/>
    <w:rsid w:val="00B750CF"/>
    <w:rsid w:val="00B751F4"/>
    <w:rsid w:val="00B752FC"/>
    <w:rsid w:val="00B75C9D"/>
    <w:rsid w:val="00B75FE4"/>
    <w:rsid w:val="00B7658D"/>
    <w:rsid w:val="00B7686F"/>
    <w:rsid w:val="00B76D02"/>
    <w:rsid w:val="00B7738F"/>
    <w:rsid w:val="00B77556"/>
    <w:rsid w:val="00B775B9"/>
    <w:rsid w:val="00B777C7"/>
    <w:rsid w:val="00B778CF"/>
    <w:rsid w:val="00B8013D"/>
    <w:rsid w:val="00B8051D"/>
    <w:rsid w:val="00B805A6"/>
    <w:rsid w:val="00B8060F"/>
    <w:rsid w:val="00B807C1"/>
    <w:rsid w:val="00B809BB"/>
    <w:rsid w:val="00B80DFA"/>
    <w:rsid w:val="00B80F5B"/>
    <w:rsid w:val="00B813EB"/>
    <w:rsid w:val="00B81688"/>
    <w:rsid w:val="00B817ED"/>
    <w:rsid w:val="00B81C0E"/>
    <w:rsid w:val="00B81C42"/>
    <w:rsid w:val="00B820F1"/>
    <w:rsid w:val="00B824B5"/>
    <w:rsid w:val="00B828A9"/>
    <w:rsid w:val="00B830F4"/>
    <w:rsid w:val="00B8330E"/>
    <w:rsid w:val="00B8341E"/>
    <w:rsid w:val="00B83560"/>
    <w:rsid w:val="00B83BA9"/>
    <w:rsid w:val="00B83EE6"/>
    <w:rsid w:val="00B840A6"/>
    <w:rsid w:val="00B841A0"/>
    <w:rsid w:val="00B84792"/>
    <w:rsid w:val="00B84868"/>
    <w:rsid w:val="00B84A68"/>
    <w:rsid w:val="00B84DB3"/>
    <w:rsid w:val="00B85133"/>
    <w:rsid w:val="00B85175"/>
    <w:rsid w:val="00B855C2"/>
    <w:rsid w:val="00B8576F"/>
    <w:rsid w:val="00B85BA3"/>
    <w:rsid w:val="00B85D73"/>
    <w:rsid w:val="00B85E88"/>
    <w:rsid w:val="00B86709"/>
    <w:rsid w:val="00B8678D"/>
    <w:rsid w:val="00B867D3"/>
    <w:rsid w:val="00B86BCB"/>
    <w:rsid w:val="00B87E89"/>
    <w:rsid w:val="00B87E97"/>
    <w:rsid w:val="00B90CBD"/>
    <w:rsid w:val="00B90CE6"/>
    <w:rsid w:val="00B90D11"/>
    <w:rsid w:val="00B90DA6"/>
    <w:rsid w:val="00B912CE"/>
    <w:rsid w:val="00B914B5"/>
    <w:rsid w:val="00B91767"/>
    <w:rsid w:val="00B91A4A"/>
    <w:rsid w:val="00B91FEA"/>
    <w:rsid w:val="00B9226D"/>
    <w:rsid w:val="00B922D3"/>
    <w:rsid w:val="00B92591"/>
    <w:rsid w:val="00B92672"/>
    <w:rsid w:val="00B92A2E"/>
    <w:rsid w:val="00B92A30"/>
    <w:rsid w:val="00B93309"/>
    <w:rsid w:val="00B93725"/>
    <w:rsid w:val="00B939B6"/>
    <w:rsid w:val="00B93A55"/>
    <w:rsid w:val="00B93D55"/>
    <w:rsid w:val="00B940B3"/>
    <w:rsid w:val="00B94628"/>
    <w:rsid w:val="00B946D4"/>
    <w:rsid w:val="00B94F9B"/>
    <w:rsid w:val="00B95120"/>
    <w:rsid w:val="00B95136"/>
    <w:rsid w:val="00B95565"/>
    <w:rsid w:val="00B95864"/>
    <w:rsid w:val="00B95885"/>
    <w:rsid w:val="00B958EF"/>
    <w:rsid w:val="00B95BE4"/>
    <w:rsid w:val="00B95C79"/>
    <w:rsid w:val="00B95CE5"/>
    <w:rsid w:val="00B96051"/>
    <w:rsid w:val="00B96128"/>
    <w:rsid w:val="00B9613C"/>
    <w:rsid w:val="00B96210"/>
    <w:rsid w:val="00B964BD"/>
    <w:rsid w:val="00B97583"/>
    <w:rsid w:val="00B97746"/>
    <w:rsid w:val="00B977D4"/>
    <w:rsid w:val="00B97845"/>
    <w:rsid w:val="00B97B92"/>
    <w:rsid w:val="00BA015D"/>
    <w:rsid w:val="00BA11A2"/>
    <w:rsid w:val="00BA19DD"/>
    <w:rsid w:val="00BA2080"/>
    <w:rsid w:val="00BA231C"/>
    <w:rsid w:val="00BA277A"/>
    <w:rsid w:val="00BA2FA6"/>
    <w:rsid w:val="00BA3006"/>
    <w:rsid w:val="00BA31CC"/>
    <w:rsid w:val="00BA3617"/>
    <w:rsid w:val="00BA3666"/>
    <w:rsid w:val="00BA37BC"/>
    <w:rsid w:val="00BA3DA7"/>
    <w:rsid w:val="00BA3EAA"/>
    <w:rsid w:val="00BA4A5C"/>
    <w:rsid w:val="00BA4DBA"/>
    <w:rsid w:val="00BA4E2F"/>
    <w:rsid w:val="00BA4F77"/>
    <w:rsid w:val="00BA4FFA"/>
    <w:rsid w:val="00BA5152"/>
    <w:rsid w:val="00BA588D"/>
    <w:rsid w:val="00BA5954"/>
    <w:rsid w:val="00BA5DCD"/>
    <w:rsid w:val="00BA5E1D"/>
    <w:rsid w:val="00BA61BB"/>
    <w:rsid w:val="00BA6726"/>
    <w:rsid w:val="00BA68AE"/>
    <w:rsid w:val="00BA6E9F"/>
    <w:rsid w:val="00BA70A8"/>
    <w:rsid w:val="00BA71A6"/>
    <w:rsid w:val="00BA73E9"/>
    <w:rsid w:val="00BA77A8"/>
    <w:rsid w:val="00BA7983"/>
    <w:rsid w:val="00BA79BF"/>
    <w:rsid w:val="00BA7B3B"/>
    <w:rsid w:val="00BB0239"/>
    <w:rsid w:val="00BB06D8"/>
    <w:rsid w:val="00BB0CCB"/>
    <w:rsid w:val="00BB0DDF"/>
    <w:rsid w:val="00BB0DE2"/>
    <w:rsid w:val="00BB10CB"/>
    <w:rsid w:val="00BB1EC4"/>
    <w:rsid w:val="00BB1F9D"/>
    <w:rsid w:val="00BB1FA6"/>
    <w:rsid w:val="00BB23B8"/>
    <w:rsid w:val="00BB2430"/>
    <w:rsid w:val="00BB2615"/>
    <w:rsid w:val="00BB2A15"/>
    <w:rsid w:val="00BB337E"/>
    <w:rsid w:val="00BB343F"/>
    <w:rsid w:val="00BB3535"/>
    <w:rsid w:val="00BB3858"/>
    <w:rsid w:val="00BB3C18"/>
    <w:rsid w:val="00BB3E20"/>
    <w:rsid w:val="00BB4023"/>
    <w:rsid w:val="00BB4453"/>
    <w:rsid w:val="00BB46DB"/>
    <w:rsid w:val="00BB4D67"/>
    <w:rsid w:val="00BB5010"/>
    <w:rsid w:val="00BB5064"/>
    <w:rsid w:val="00BB5528"/>
    <w:rsid w:val="00BB55EB"/>
    <w:rsid w:val="00BB587E"/>
    <w:rsid w:val="00BB5BE3"/>
    <w:rsid w:val="00BB5C8E"/>
    <w:rsid w:val="00BB5CCB"/>
    <w:rsid w:val="00BB5D33"/>
    <w:rsid w:val="00BB6327"/>
    <w:rsid w:val="00BB63C3"/>
    <w:rsid w:val="00BB6458"/>
    <w:rsid w:val="00BB681F"/>
    <w:rsid w:val="00BB6E35"/>
    <w:rsid w:val="00BB7AB1"/>
    <w:rsid w:val="00BB7BCF"/>
    <w:rsid w:val="00BB7D33"/>
    <w:rsid w:val="00BC00E5"/>
    <w:rsid w:val="00BC01A0"/>
    <w:rsid w:val="00BC026C"/>
    <w:rsid w:val="00BC05AE"/>
    <w:rsid w:val="00BC0D8B"/>
    <w:rsid w:val="00BC0E1F"/>
    <w:rsid w:val="00BC1EE9"/>
    <w:rsid w:val="00BC2109"/>
    <w:rsid w:val="00BC2276"/>
    <w:rsid w:val="00BC23F1"/>
    <w:rsid w:val="00BC269A"/>
    <w:rsid w:val="00BC27FB"/>
    <w:rsid w:val="00BC2851"/>
    <w:rsid w:val="00BC28F5"/>
    <w:rsid w:val="00BC294E"/>
    <w:rsid w:val="00BC2B85"/>
    <w:rsid w:val="00BC2CFA"/>
    <w:rsid w:val="00BC301B"/>
    <w:rsid w:val="00BC340D"/>
    <w:rsid w:val="00BC3520"/>
    <w:rsid w:val="00BC369D"/>
    <w:rsid w:val="00BC3AF3"/>
    <w:rsid w:val="00BC3DC6"/>
    <w:rsid w:val="00BC3FB2"/>
    <w:rsid w:val="00BC409C"/>
    <w:rsid w:val="00BC449B"/>
    <w:rsid w:val="00BC4617"/>
    <w:rsid w:val="00BC500E"/>
    <w:rsid w:val="00BC5151"/>
    <w:rsid w:val="00BC55DB"/>
    <w:rsid w:val="00BC57B4"/>
    <w:rsid w:val="00BC57F1"/>
    <w:rsid w:val="00BC5812"/>
    <w:rsid w:val="00BC589C"/>
    <w:rsid w:val="00BC59F5"/>
    <w:rsid w:val="00BC5AD5"/>
    <w:rsid w:val="00BC5CAB"/>
    <w:rsid w:val="00BC5FA2"/>
    <w:rsid w:val="00BC6450"/>
    <w:rsid w:val="00BC6B41"/>
    <w:rsid w:val="00BC6C33"/>
    <w:rsid w:val="00BC6CA0"/>
    <w:rsid w:val="00BC6DF2"/>
    <w:rsid w:val="00BC6E0B"/>
    <w:rsid w:val="00BC74FD"/>
    <w:rsid w:val="00BC7A5E"/>
    <w:rsid w:val="00BD03B4"/>
    <w:rsid w:val="00BD065D"/>
    <w:rsid w:val="00BD06CE"/>
    <w:rsid w:val="00BD07B8"/>
    <w:rsid w:val="00BD0A01"/>
    <w:rsid w:val="00BD0A30"/>
    <w:rsid w:val="00BD0BAC"/>
    <w:rsid w:val="00BD0C40"/>
    <w:rsid w:val="00BD0CC4"/>
    <w:rsid w:val="00BD0CF2"/>
    <w:rsid w:val="00BD151B"/>
    <w:rsid w:val="00BD1535"/>
    <w:rsid w:val="00BD1542"/>
    <w:rsid w:val="00BD1C0E"/>
    <w:rsid w:val="00BD1C64"/>
    <w:rsid w:val="00BD286E"/>
    <w:rsid w:val="00BD325C"/>
    <w:rsid w:val="00BD32E0"/>
    <w:rsid w:val="00BD3CC2"/>
    <w:rsid w:val="00BD3EF4"/>
    <w:rsid w:val="00BD401D"/>
    <w:rsid w:val="00BD40CF"/>
    <w:rsid w:val="00BD495A"/>
    <w:rsid w:val="00BD49FE"/>
    <w:rsid w:val="00BD4A4E"/>
    <w:rsid w:val="00BD4EF9"/>
    <w:rsid w:val="00BD52D6"/>
    <w:rsid w:val="00BD56AA"/>
    <w:rsid w:val="00BD5908"/>
    <w:rsid w:val="00BD5C3F"/>
    <w:rsid w:val="00BD5F0A"/>
    <w:rsid w:val="00BD5F37"/>
    <w:rsid w:val="00BD5F6C"/>
    <w:rsid w:val="00BD6196"/>
    <w:rsid w:val="00BD668D"/>
    <w:rsid w:val="00BD68BA"/>
    <w:rsid w:val="00BD6DA8"/>
    <w:rsid w:val="00BD6E5F"/>
    <w:rsid w:val="00BD74B2"/>
    <w:rsid w:val="00BD7574"/>
    <w:rsid w:val="00BD785C"/>
    <w:rsid w:val="00BD79A6"/>
    <w:rsid w:val="00BD7A7C"/>
    <w:rsid w:val="00BD7ACD"/>
    <w:rsid w:val="00BD7E40"/>
    <w:rsid w:val="00BE0829"/>
    <w:rsid w:val="00BE0A0E"/>
    <w:rsid w:val="00BE0A54"/>
    <w:rsid w:val="00BE0BE4"/>
    <w:rsid w:val="00BE0F50"/>
    <w:rsid w:val="00BE12CA"/>
    <w:rsid w:val="00BE16E2"/>
    <w:rsid w:val="00BE17FE"/>
    <w:rsid w:val="00BE1939"/>
    <w:rsid w:val="00BE1F39"/>
    <w:rsid w:val="00BE2290"/>
    <w:rsid w:val="00BE2BD7"/>
    <w:rsid w:val="00BE366D"/>
    <w:rsid w:val="00BE3D7D"/>
    <w:rsid w:val="00BE434E"/>
    <w:rsid w:val="00BE5163"/>
    <w:rsid w:val="00BE542A"/>
    <w:rsid w:val="00BE578C"/>
    <w:rsid w:val="00BE5936"/>
    <w:rsid w:val="00BE5D78"/>
    <w:rsid w:val="00BE5D79"/>
    <w:rsid w:val="00BE6A26"/>
    <w:rsid w:val="00BE6BD0"/>
    <w:rsid w:val="00BE6CCF"/>
    <w:rsid w:val="00BE6E1F"/>
    <w:rsid w:val="00BE7351"/>
    <w:rsid w:val="00BE7B17"/>
    <w:rsid w:val="00BE7EA0"/>
    <w:rsid w:val="00BE7F10"/>
    <w:rsid w:val="00BE7F3A"/>
    <w:rsid w:val="00BF032B"/>
    <w:rsid w:val="00BF03A4"/>
    <w:rsid w:val="00BF03FA"/>
    <w:rsid w:val="00BF06F6"/>
    <w:rsid w:val="00BF16D9"/>
    <w:rsid w:val="00BF1A24"/>
    <w:rsid w:val="00BF2570"/>
    <w:rsid w:val="00BF25AC"/>
    <w:rsid w:val="00BF2A0A"/>
    <w:rsid w:val="00BF2B88"/>
    <w:rsid w:val="00BF2E43"/>
    <w:rsid w:val="00BF2E84"/>
    <w:rsid w:val="00BF32A2"/>
    <w:rsid w:val="00BF362E"/>
    <w:rsid w:val="00BF3FB3"/>
    <w:rsid w:val="00BF40E9"/>
    <w:rsid w:val="00BF456C"/>
    <w:rsid w:val="00BF4667"/>
    <w:rsid w:val="00BF48F6"/>
    <w:rsid w:val="00BF4CC2"/>
    <w:rsid w:val="00BF52B9"/>
    <w:rsid w:val="00BF53D4"/>
    <w:rsid w:val="00BF59AF"/>
    <w:rsid w:val="00BF5B4D"/>
    <w:rsid w:val="00BF6555"/>
    <w:rsid w:val="00BF7194"/>
    <w:rsid w:val="00BF72E3"/>
    <w:rsid w:val="00BF7312"/>
    <w:rsid w:val="00BF747F"/>
    <w:rsid w:val="00BF7CA7"/>
    <w:rsid w:val="00C00147"/>
    <w:rsid w:val="00C001FF"/>
    <w:rsid w:val="00C002D9"/>
    <w:rsid w:val="00C005E7"/>
    <w:rsid w:val="00C00A79"/>
    <w:rsid w:val="00C00D30"/>
    <w:rsid w:val="00C00EFE"/>
    <w:rsid w:val="00C0111F"/>
    <w:rsid w:val="00C011AC"/>
    <w:rsid w:val="00C0122E"/>
    <w:rsid w:val="00C014E7"/>
    <w:rsid w:val="00C01EAF"/>
    <w:rsid w:val="00C02147"/>
    <w:rsid w:val="00C02228"/>
    <w:rsid w:val="00C027AF"/>
    <w:rsid w:val="00C02962"/>
    <w:rsid w:val="00C0318D"/>
    <w:rsid w:val="00C036A7"/>
    <w:rsid w:val="00C036DA"/>
    <w:rsid w:val="00C038EB"/>
    <w:rsid w:val="00C0412F"/>
    <w:rsid w:val="00C0432E"/>
    <w:rsid w:val="00C04377"/>
    <w:rsid w:val="00C04426"/>
    <w:rsid w:val="00C047C1"/>
    <w:rsid w:val="00C0481C"/>
    <w:rsid w:val="00C055DF"/>
    <w:rsid w:val="00C061E7"/>
    <w:rsid w:val="00C068FC"/>
    <w:rsid w:val="00C06A17"/>
    <w:rsid w:val="00C0701D"/>
    <w:rsid w:val="00C0718E"/>
    <w:rsid w:val="00C071FB"/>
    <w:rsid w:val="00C077ED"/>
    <w:rsid w:val="00C07A3B"/>
    <w:rsid w:val="00C07C3A"/>
    <w:rsid w:val="00C102A8"/>
    <w:rsid w:val="00C1069E"/>
    <w:rsid w:val="00C107A0"/>
    <w:rsid w:val="00C108E4"/>
    <w:rsid w:val="00C10C2A"/>
    <w:rsid w:val="00C11405"/>
    <w:rsid w:val="00C114DF"/>
    <w:rsid w:val="00C11BFB"/>
    <w:rsid w:val="00C12143"/>
    <w:rsid w:val="00C1270C"/>
    <w:rsid w:val="00C12AF9"/>
    <w:rsid w:val="00C12F86"/>
    <w:rsid w:val="00C12F89"/>
    <w:rsid w:val="00C1314F"/>
    <w:rsid w:val="00C13387"/>
    <w:rsid w:val="00C135A8"/>
    <w:rsid w:val="00C1381A"/>
    <w:rsid w:val="00C1398A"/>
    <w:rsid w:val="00C13CD4"/>
    <w:rsid w:val="00C1418F"/>
    <w:rsid w:val="00C1436E"/>
    <w:rsid w:val="00C14472"/>
    <w:rsid w:val="00C1455D"/>
    <w:rsid w:val="00C147BF"/>
    <w:rsid w:val="00C148DD"/>
    <w:rsid w:val="00C14C7E"/>
    <w:rsid w:val="00C14E32"/>
    <w:rsid w:val="00C14ED6"/>
    <w:rsid w:val="00C15015"/>
    <w:rsid w:val="00C1519E"/>
    <w:rsid w:val="00C152D9"/>
    <w:rsid w:val="00C155D4"/>
    <w:rsid w:val="00C16CBB"/>
    <w:rsid w:val="00C1723F"/>
    <w:rsid w:val="00C17677"/>
    <w:rsid w:val="00C1791F"/>
    <w:rsid w:val="00C179FE"/>
    <w:rsid w:val="00C17E74"/>
    <w:rsid w:val="00C204AA"/>
    <w:rsid w:val="00C204BC"/>
    <w:rsid w:val="00C20724"/>
    <w:rsid w:val="00C20938"/>
    <w:rsid w:val="00C20C06"/>
    <w:rsid w:val="00C20D2A"/>
    <w:rsid w:val="00C212F3"/>
    <w:rsid w:val="00C21485"/>
    <w:rsid w:val="00C215BF"/>
    <w:rsid w:val="00C216AC"/>
    <w:rsid w:val="00C2181D"/>
    <w:rsid w:val="00C21AE1"/>
    <w:rsid w:val="00C21B2D"/>
    <w:rsid w:val="00C21C0C"/>
    <w:rsid w:val="00C21C20"/>
    <w:rsid w:val="00C22625"/>
    <w:rsid w:val="00C226A4"/>
    <w:rsid w:val="00C2281F"/>
    <w:rsid w:val="00C22996"/>
    <w:rsid w:val="00C2311B"/>
    <w:rsid w:val="00C2344C"/>
    <w:rsid w:val="00C23784"/>
    <w:rsid w:val="00C23C7C"/>
    <w:rsid w:val="00C2442B"/>
    <w:rsid w:val="00C2460A"/>
    <w:rsid w:val="00C24796"/>
    <w:rsid w:val="00C247B0"/>
    <w:rsid w:val="00C247FD"/>
    <w:rsid w:val="00C24BA3"/>
    <w:rsid w:val="00C24C03"/>
    <w:rsid w:val="00C24C9B"/>
    <w:rsid w:val="00C25DFF"/>
    <w:rsid w:val="00C25F89"/>
    <w:rsid w:val="00C2610C"/>
    <w:rsid w:val="00C26DF3"/>
    <w:rsid w:val="00C26E84"/>
    <w:rsid w:val="00C27414"/>
    <w:rsid w:val="00C275A5"/>
    <w:rsid w:val="00C278E2"/>
    <w:rsid w:val="00C27909"/>
    <w:rsid w:val="00C2793B"/>
    <w:rsid w:val="00C27E65"/>
    <w:rsid w:val="00C305AF"/>
    <w:rsid w:val="00C30B11"/>
    <w:rsid w:val="00C30B12"/>
    <w:rsid w:val="00C3122A"/>
    <w:rsid w:val="00C3131D"/>
    <w:rsid w:val="00C315CF"/>
    <w:rsid w:val="00C31AD9"/>
    <w:rsid w:val="00C32414"/>
    <w:rsid w:val="00C325F6"/>
    <w:rsid w:val="00C32AB5"/>
    <w:rsid w:val="00C330FF"/>
    <w:rsid w:val="00C33389"/>
    <w:rsid w:val="00C3382F"/>
    <w:rsid w:val="00C33A85"/>
    <w:rsid w:val="00C33C4D"/>
    <w:rsid w:val="00C33C6D"/>
    <w:rsid w:val="00C33DD4"/>
    <w:rsid w:val="00C345EC"/>
    <w:rsid w:val="00C34948"/>
    <w:rsid w:val="00C34A91"/>
    <w:rsid w:val="00C350DE"/>
    <w:rsid w:val="00C35128"/>
    <w:rsid w:val="00C352A4"/>
    <w:rsid w:val="00C3532E"/>
    <w:rsid w:val="00C353ED"/>
    <w:rsid w:val="00C360C4"/>
    <w:rsid w:val="00C36AF9"/>
    <w:rsid w:val="00C36DE6"/>
    <w:rsid w:val="00C36E37"/>
    <w:rsid w:val="00C371A0"/>
    <w:rsid w:val="00C371E5"/>
    <w:rsid w:val="00C377B7"/>
    <w:rsid w:val="00C4021C"/>
    <w:rsid w:val="00C40329"/>
    <w:rsid w:val="00C40F65"/>
    <w:rsid w:val="00C40F9F"/>
    <w:rsid w:val="00C4120A"/>
    <w:rsid w:val="00C4135D"/>
    <w:rsid w:val="00C41744"/>
    <w:rsid w:val="00C417F5"/>
    <w:rsid w:val="00C4188D"/>
    <w:rsid w:val="00C41AB5"/>
    <w:rsid w:val="00C41B76"/>
    <w:rsid w:val="00C41C25"/>
    <w:rsid w:val="00C41CED"/>
    <w:rsid w:val="00C42051"/>
    <w:rsid w:val="00C42518"/>
    <w:rsid w:val="00C425E7"/>
    <w:rsid w:val="00C428C0"/>
    <w:rsid w:val="00C42B09"/>
    <w:rsid w:val="00C42C2E"/>
    <w:rsid w:val="00C42DD3"/>
    <w:rsid w:val="00C42E50"/>
    <w:rsid w:val="00C430F0"/>
    <w:rsid w:val="00C433DA"/>
    <w:rsid w:val="00C43463"/>
    <w:rsid w:val="00C43583"/>
    <w:rsid w:val="00C435D3"/>
    <w:rsid w:val="00C435D9"/>
    <w:rsid w:val="00C43654"/>
    <w:rsid w:val="00C436F7"/>
    <w:rsid w:val="00C43848"/>
    <w:rsid w:val="00C43985"/>
    <w:rsid w:val="00C43AB0"/>
    <w:rsid w:val="00C43DB5"/>
    <w:rsid w:val="00C442F4"/>
    <w:rsid w:val="00C445AA"/>
    <w:rsid w:val="00C445CA"/>
    <w:rsid w:val="00C447CB"/>
    <w:rsid w:val="00C447E1"/>
    <w:rsid w:val="00C44869"/>
    <w:rsid w:val="00C448F9"/>
    <w:rsid w:val="00C4513C"/>
    <w:rsid w:val="00C45977"/>
    <w:rsid w:val="00C45A4D"/>
    <w:rsid w:val="00C45BD1"/>
    <w:rsid w:val="00C46487"/>
    <w:rsid w:val="00C46CBC"/>
    <w:rsid w:val="00C4705E"/>
    <w:rsid w:val="00C475D2"/>
    <w:rsid w:val="00C47753"/>
    <w:rsid w:val="00C47C6C"/>
    <w:rsid w:val="00C47DC3"/>
    <w:rsid w:val="00C501E7"/>
    <w:rsid w:val="00C50201"/>
    <w:rsid w:val="00C5026E"/>
    <w:rsid w:val="00C502B0"/>
    <w:rsid w:val="00C50638"/>
    <w:rsid w:val="00C50B5B"/>
    <w:rsid w:val="00C50DC1"/>
    <w:rsid w:val="00C50ED6"/>
    <w:rsid w:val="00C50F3F"/>
    <w:rsid w:val="00C515D7"/>
    <w:rsid w:val="00C516DB"/>
    <w:rsid w:val="00C51AC4"/>
    <w:rsid w:val="00C51C2A"/>
    <w:rsid w:val="00C51E84"/>
    <w:rsid w:val="00C51E99"/>
    <w:rsid w:val="00C522CE"/>
    <w:rsid w:val="00C524E7"/>
    <w:rsid w:val="00C52E81"/>
    <w:rsid w:val="00C531C2"/>
    <w:rsid w:val="00C531DF"/>
    <w:rsid w:val="00C53692"/>
    <w:rsid w:val="00C5383C"/>
    <w:rsid w:val="00C53B3A"/>
    <w:rsid w:val="00C540D2"/>
    <w:rsid w:val="00C549FB"/>
    <w:rsid w:val="00C5538B"/>
    <w:rsid w:val="00C557B6"/>
    <w:rsid w:val="00C55F0C"/>
    <w:rsid w:val="00C5619A"/>
    <w:rsid w:val="00C56657"/>
    <w:rsid w:val="00C5671A"/>
    <w:rsid w:val="00C568EB"/>
    <w:rsid w:val="00C569C5"/>
    <w:rsid w:val="00C571B1"/>
    <w:rsid w:val="00C571FB"/>
    <w:rsid w:val="00C5793F"/>
    <w:rsid w:val="00C57AC7"/>
    <w:rsid w:val="00C57D29"/>
    <w:rsid w:val="00C60108"/>
    <w:rsid w:val="00C60137"/>
    <w:rsid w:val="00C6020B"/>
    <w:rsid w:val="00C605F9"/>
    <w:rsid w:val="00C60648"/>
    <w:rsid w:val="00C607B8"/>
    <w:rsid w:val="00C60B0E"/>
    <w:rsid w:val="00C60D75"/>
    <w:rsid w:val="00C60F09"/>
    <w:rsid w:val="00C60F16"/>
    <w:rsid w:val="00C610F6"/>
    <w:rsid w:val="00C61BF7"/>
    <w:rsid w:val="00C61CE7"/>
    <w:rsid w:val="00C62218"/>
    <w:rsid w:val="00C6230A"/>
    <w:rsid w:val="00C62A57"/>
    <w:rsid w:val="00C62D32"/>
    <w:rsid w:val="00C62E1A"/>
    <w:rsid w:val="00C62E69"/>
    <w:rsid w:val="00C630AF"/>
    <w:rsid w:val="00C633B0"/>
    <w:rsid w:val="00C635FE"/>
    <w:rsid w:val="00C63B11"/>
    <w:rsid w:val="00C6456A"/>
    <w:rsid w:val="00C64939"/>
    <w:rsid w:val="00C64C0D"/>
    <w:rsid w:val="00C65360"/>
    <w:rsid w:val="00C65552"/>
    <w:rsid w:val="00C656A0"/>
    <w:rsid w:val="00C65881"/>
    <w:rsid w:val="00C66008"/>
    <w:rsid w:val="00C66011"/>
    <w:rsid w:val="00C66314"/>
    <w:rsid w:val="00C663FA"/>
    <w:rsid w:val="00C66434"/>
    <w:rsid w:val="00C66C90"/>
    <w:rsid w:val="00C67028"/>
    <w:rsid w:val="00C67033"/>
    <w:rsid w:val="00C67601"/>
    <w:rsid w:val="00C676D4"/>
    <w:rsid w:val="00C67D72"/>
    <w:rsid w:val="00C67F53"/>
    <w:rsid w:val="00C67FE8"/>
    <w:rsid w:val="00C70131"/>
    <w:rsid w:val="00C706BC"/>
    <w:rsid w:val="00C70D6C"/>
    <w:rsid w:val="00C713E7"/>
    <w:rsid w:val="00C71909"/>
    <w:rsid w:val="00C71972"/>
    <w:rsid w:val="00C719B0"/>
    <w:rsid w:val="00C71A6A"/>
    <w:rsid w:val="00C71E20"/>
    <w:rsid w:val="00C722CD"/>
    <w:rsid w:val="00C7296D"/>
    <w:rsid w:val="00C729D8"/>
    <w:rsid w:val="00C72C38"/>
    <w:rsid w:val="00C72E51"/>
    <w:rsid w:val="00C73890"/>
    <w:rsid w:val="00C74350"/>
    <w:rsid w:val="00C74BAE"/>
    <w:rsid w:val="00C74CD4"/>
    <w:rsid w:val="00C74FA0"/>
    <w:rsid w:val="00C756B2"/>
    <w:rsid w:val="00C757CE"/>
    <w:rsid w:val="00C758B4"/>
    <w:rsid w:val="00C75D3F"/>
    <w:rsid w:val="00C75D9B"/>
    <w:rsid w:val="00C75E67"/>
    <w:rsid w:val="00C75E93"/>
    <w:rsid w:val="00C76ABA"/>
    <w:rsid w:val="00C776E0"/>
    <w:rsid w:val="00C77F07"/>
    <w:rsid w:val="00C800C8"/>
    <w:rsid w:val="00C801FD"/>
    <w:rsid w:val="00C803DA"/>
    <w:rsid w:val="00C8042D"/>
    <w:rsid w:val="00C80718"/>
    <w:rsid w:val="00C812E8"/>
    <w:rsid w:val="00C81A4F"/>
    <w:rsid w:val="00C8206A"/>
    <w:rsid w:val="00C8217A"/>
    <w:rsid w:val="00C822EE"/>
    <w:rsid w:val="00C828CD"/>
    <w:rsid w:val="00C82F12"/>
    <w:rsid w:val="00C82F4F"/>
    <w:rsid w:val="00C8300E"/>
    <w:rsid w:val="00C830B3"/>
    <w:rsid w:val="00C834CD"/>
    <w:rsid w:val="00C83690"/>
    <w:rsid w:val="00C836C6"/>
    <w:rsid w:val="00C8393A"/>
    <w:rsid w:val="00C83EED"/>
    <w:rsid w:val="00C83F72"/>
    <w:rsid w:val="00C84118"/>
    <w:rsid w:val="00C84196"/>
    <w:rsid w:val="00C84854"/>
    <w:rsid w:val="00C848AD"/>
    <w:rsid w:val="00C848C4"/>
    <w:rsid w:val="00C84963"/>
    <w:rsid w:val="00C84BC9"/>
    <w:rsid w:val="00C84CE4"/>
    <w:rsid w:val="00C84D87"/>
    <w:rsid w:val="00C8508C"/>
    <w:rsid w:val="00C853D0"/>
    <w:rsid w:val="00C85943"/>
    <w:rsid w:val="00C85B28"/>
    <w:rsid w:val="00C85ECA"/>
    <w:rsid w:val="00C863F9"/>
    <w:rsid w:val="00C86634"/>
    <w:rsid w:val="00C8693D"/>
    <w:rsid w:val="00C8780A"/>
    <w:rsid w:val="00C879F5"/>
    <w:rsid w:val="00C87A88"/>
    <w:rsid w:val="00C87F00"/>
    <w:rsid w:val="00C901AA"/>
    <w:rsid w:val="00C90252"/>
    <w:rsid w:val="00C902FE"/>
    <w:rsid w:val="00C904A1"/>
    <w:rsid w:val="00C90CB8"/>
    <w:rsid w:val="00C917D9"/>
    <w:rsid w:val="00C918C6"/>
    <w:rsid w:val="00C9225E"/>
    <w:rsid w:val="00C92497"/>
    <w:rsid w:val="00C92658"/>
    <w:rsid w:val="00C92970"/>
    <w:rsid w:val="00C92D8A"/>
    <w:rsid w:val="00C93194"/>
    <w:rsid w:val="00C93301"/>
    <w:rsid w:val="00C934E1"/>
    <w:rsid w:val="00C9358E"/>
    <w:rsid w:val="00C93808"/>
    <w:rsid w:val="00C93EFE"/>
    <w:rsid w:val="00C93F69"/>
    <w:rsid w:val="00C93F8C"/>
    <w:rsid w:val="00C93FC7"/>
    <w:rsid w:val="00C94222"/>
    <w:rsid w:val="00C9425F"/>
    <w:rsid w:val="00C948EA"/>
    <w:rsid w:val="00C94A45"/>
    <w:rsid w:val="00C95A63"/>
    <w:rsid w:val="00C95A97"/>
    <w:rsid w:val="00C95D97"/>
    <w:rsid w:val="00C96341"/>
    <w:rsid w:val="00C96812"/>
    <w:rsid w:val="00C96904"/>
    <w:rsid w:val="00C96A98"/>
    <w:rsid w:val="00C96F81"/>
    <w:rsid w:val="00C979C2"/>
    <w:rsid w:val="00C97BA3"/>
    <w:rsid w:val="00C97BCD"/>
    <w:rsid w:val="00CA00B9"/>
    <w:rsid w:val="00CA01FA"/>
    <w:rsid w:val="00CA04CC"/>
    <w:rsid w:val="00CA06E7"/>
    <w:rsid w:val="00CA0846"/>
    <w:rsid w:val="00CA0890"/>
    <w:rsid w:val="00CA0A37"/>
    <w:rsid w:val="00CA0CA1"/>
    <w:rsid w:val="00CA1023"/>
    <w:rsid w:val="00CA1059"/>
    <w:rsid w:val="00CA1082"/>
    <w:rsid w:val="00CA118C"/>
    <w:rsid w:val="00CA162C"/>
    <w:rsid w:val="00CA16FA"/>
    <w:rsid w:val="00CA23B0"/>
    <w:rsid w:val="00CA24C5"/>
    <w:rsid w:val="00CA2663"/>
    <w:rsid w:val="00CA2770"/>
    <w:rsid w:val="00CA2CD3"/>
    <w:rsid w:val="00CA2F7E"/>
    <w:rsid w:val="00CA3513"/>
    <w:rsid w:val="00CA3984"/>
    <w:rsid w:val="00CA4797"/>
    <w:rsid w:val="00CA4866"/>
    <w:rsid w:val="00CA4A95"/>
    <w:rsid w:val="00CA55CB"/>
    <w:rsid w:val="00CA5B39"/>
    <w:rsid w:val="00CA5C43"/>
    <w:rsid w:val="00CA5E39"/>
    <w:rsid w:val="00CA651B"/>
    <w:rsid w:val="00CA67F6"/>
    <w:rsid w:val="00CA6BFC"/>
    <w:rsid w:val="00CA6DF4"/>
    <w:rsid w:val="00CA70B1"/>
    <w:rsid w:val="00CA70DF"/>
    <w:rsid w:val="00CA715A"/>
    <w:rsid w:val="00CA7160"/>
    <w:rsid w:val="00CA73A4"/>
    <w:rsid w:val="00CA77BD"/>
    <w:rsid w:val="00CA79EF"/>
    <w:rsid w:val="00CB0792"/>
    <w:rsid w:val="00CB0878"/>
    <w:rsid w:val="00CB08C7"/>
    <w:rsid w:val="00CB0A99"/>
    <w:rsid w:val="00CB0D24"/>
    <w:rsid w:val="00CB0F00"/>
    <w:rsid w:val="00CB109E"/>
    <w:rsid w:val="00CB11FA"/>
    <w:rsid w:val="00CB1335"/>
    <w:rsid w:val="00CB1444"/>
    <w:rsid w:val="00CB14FB"/>
    <w:rsid w:val="00CB15E3"/>
    <w:rsid w:val="00CB15F0"/>
    <w:rsid w:val="00CB162B"/>
    <w:rsid w:val="00CB1A0D"/>
    <w:rsid w:val="00CB2125"/>
    <w:rsid w:val="00CB2456"/>
    <w:rsid w:val="00CB263B"/>
    <w:rsid w:val="00CB26C7"/>
    <w:rsid w:val="00CB26E3"/>
    <w:rsid w:val="00CB28C1"/>
    <w:rsid w:val="00CB2ABF"/>
    <w:rsid w:val="00CB2ECD"/>
    <w:rsid w:val="00CB30B9"/>
    <w:rsid w:val="00CB334C"/>
    <w:rsid w:val="00CB3606"/>
    <w:rsid w:val="00CB3B11"/>
    <w:rsid w:val="00CB3B89"/>
    <w:rsid w:val="00CB3C40"/>
    <w:rsid w:val="00CB3C49"/>
    <w:rsid w:val="00CB3E03"/>
    <w:rsid w:val="00CB4175"/>
    <w:rsid w:val="00CB479C"/>
    <w:rsid w:val="00CB5547"/>
    <w:rsid w:val="00CB5771"/>
    <w:rsid w:val="00CB59E1"/>
    <w:rsid w:val="00CB6463"/>
    <w:rsid w:val="00CB6667"/>
    <w:rsid w:val="00CB6779"/>
    <w:rsid w:val="00CB6ABB"/>
    <w:rsid w:val="00CB6B1F"/>
    <w:rsid w:val="00CB6B2B"/>
    <w:rsid w:val="00CB6BD9"/>
    <w:rsid w:val="00CB6DB7"/>
    <w:rsid w:val="00CB7643"/>
    <w:rsid w:val="00CB78CE"/>
    <w:rsid w:val="00CB7C86"/>
    <w:rsid w:val="00CB7E38"/>
    <w:rsid w:val="00CC03BB"/>
    <w:rsid w:val="00CC04C1"/>
    <w:rsid w:val="00CC05B3"/>
    <w:rsid w:val="00CC0710"/>
    <w:rsid w:val="00CC11BE"/>
    <w:rsid w:val="00CC152F"/>
    <w:rsid w:val="00CC19F5"/>
    <w:rsid w:val="00CC1E44"/>
    <w:rsid w:val="00CC216A"/>
    <w:rsid w:val="00CC259F"/>
    <w:rsid w:val="00CC25C1"/>
    <w:rsid w:val="00CC26EA"/>
    <w:rsid w:val="00CC2DF2"/>
    <w:rsid w:val="00CC2DF6"/>
    <w:rsid w:val="00CC3B6D"/>
    <w:rsid w:val="00CC42F3"/>
    <w:rsid w:val="00CC440D"/>
    <w:rsid w:val="00CC4664"/>
    <w:rsid w:val="00CC4675"/>
    <w:rsid w:val="00CC4D9A"/>
    <w:rsid w:val="00CC4E87"/>
    <w:rsid w:val="00CC5295"/>
    <w:rsid w:val="00CC60C9"/>
    <w:rsid w:val="00CC66BA"/>
    <w:rsid w:val="00CC6842"/>
    <w:rsid w:val="00CC6CD6"/>
    <w:rsid w:val="00CC6E4E"/>
    <w:rsid w:val="00CC74CE"/>
    <w:rsid w:val="00CC75B7"/>
    <w:rsid w:val="00CC7908"/>
    <w:rsid w:val="00CC7B90"/>
    <w:rsid w:val="00CD0147"/>
    <w:rsid w:val="00CD0533"/>
    <w:rsid w:val="00CD0A22"/>
    <w:rsid w:val="00CD0FA9"/>
    <w:rsid w:val="00CD27C4"/>
    <w:rsid w:val="00CD2A0E"/>
    <w:rsid w:val="00CD2BDD"/>
    <w:rsid w:val="00CD30C7"/>
    <w:rsid w:val="00CD377C"/>
    <w:rsid w:val="00CD3914"/>
    <w:rsid w:val="00CD3920"/>
    <w:rsid w:val="00CD39F9"/>
    <w:rsid w:val="00CD3D0D"/>
    <w:rsid w:val="00CD3D74"/>
    <w:rsid w:val="00CD3DCB"/>
    <w:rsid w:val="00CD40F8"/>
    <w:rsid w:val="00CD4442"/>
    <w:rsid w:val="00CD4975"/>
    <w:rsid w:val="00CD4E22"/>
    <w:rsid w:val="00CD55EC"/>
    <w:rsid w:val="00CD5671"/>
    <w:rsid w:val="00CD5886"/>
    <w:rsid w:val="00CD62F4"/>
    <w:rsid w:val="00CD67F9"/>
    <w:rsid w:val="00CD6857"/>
    <w:rsid w:val="00CD6E67"/>
    <w:rsid w:val="00CD71E6"/>
    <w:rsid w:val="00CD7433"/>
    <w:rsid w:val="00CD77F8"/>
    <w:rsid w:val="00CD7A5F"/>
    <w:rsid w:val="00CD7CCB"/>
    <w:rsid w:val="00CD7F37"/>
    <w:rsid w:val="00CE0303"/>
    <w:rsid w:val="00CE039C"/>
    <w:rsid w:val="00CE0464"/>
    <w:rsid w:val="00CE06DE"/>
    <w:rsid w:val="00CE071C"/>
    <w:rsid w:val="00CE1051"/>
    <w:rsid w:val="00CE1072"/>
    <w:rsid w:val="00CE14A1"/>
    <w:rsid w:val="00CE16F1"/>
    <w:rsid w:val="00CE182C"/>
    <w:rsid w:val="00CE1D2E"/>
    <w:rsid w:val="00CE249B"/>
    <w:rsid w:val="00CE2522"/>
    <w:rsid w:val="00CE266A"/>
    <w:rsid w:val="00CE2D2F"/>
    <w:rsid w:val="00CE3220"/>
    <w:rsid w:val="00CE3508"/>
    <w:rsid w:val="00CE4006"/>
    <w:rsid w:val="00CE4274"/>
    <w:rsid w:val="00CE43FE"/>
    <w:rsid w:val="00CE44BF"/>
    <w:rsid w:val="00CE4632"/>
    <w:rsid w:val="00CE4C5B"/>
    <w:rsid w:val="00CE4E74"/>
    <w:rsid w:val="00CE507D"/>
    <w:rsid w:val="00CE50EE"/>
    <w:rsid w:val="00CE517B"/>
    <w:rsid w:val="00CE5229"/>
    <w:rsid w:val="00CE5917"/>
    <w:rsid w:val="00CE5C18"/>
    <w:rsid w:val="00CE5E00"/>
    <w:rsid w:val="00CE5E30"/>
    <w:rsid w:val="00CE5E39"/>
    <w:rsid w:val="00CE6286"/>
    <w:rsid w:val="00CE6CB6"/>
    <w:rsid w:val="00CE6CFC"/>
    <w:rsid w:val="00CE6D16"/>
    <w:rsid w:val="00CE709C"/>
    <w:rsid w:val="00CE73AF"/>
    <w:rsid w:val="00CE73EB"/>
    <w:rsid w:val="00CE7416"/>
    <w:rsid w:val="00CE742F"/>
    <w:rsid w:val="00CE7683"/>
    <w:rsid w:val="00CE7881"/>
    <w:rsid w:val="00CE79D6"/>
    <w:rsid w:val="00CE7F0B"/>
    <w:rsid w:val="00CF011E"/>
    <w:rsid w:val="00CF01C8"/>
    <w:rsid w:val="00CF0201"/>
    <w:rsid w:val="00CF03F8"/>
    <w:rsid w:val="00CF0673"/>
    <w:rsid w:val="00CF0836"/>
    <w:rsid w:val="00CF0A54"/>
    <w:rsid w:val="00CF0C89"/>
    <w:rsid w:val="00CF0CAF"/>
    <w:rsid w:val="00CF0D97"/>
    <w:rsid w:val="00CF11E8"/>
    <w:rsid w:val="00CF140F"/>
    <w:rsid w:val="00CF1694"/>
    <w:rsid w:val="00CF19CE"/>
    <w:rsid w:val="00CF1AB1"/>
    <w:rsid w:val="00CF1C60"/>
    <w:rsid w:val="00CF1F54"/>
    <w:rsid w:val="00CF239C"/>
    <w:rsid w:val="00CF260B"/>
    <w:rsid w:val="00CF27F1"/>
    <w:rsid w:val="00CF2DCF"/>
    <w:rsid w:val="00CF2EC6"/>
    <w:rsid w:val="00CF2F13"/>
    <w:rsid w:val="00CF2F63"/>
    <w:rsid w:val="00CF3140"/>
    <w:rsid w:val="00CF32A9"/>
    <w:rsid w:val="00CF3332"/>
    <w:rsid w:val="00CF374E"/>
    <w:rsid w:val="00CF3DA6"/>
    <w:rsid w:val="00CF4134"/>
    <w:rsid w:val="00CF4311"/>
    <w:rsid w:val="00CF4BD5"/>
    <w:rsid w:val="00CF4E44"/>
    <w:rsid w:val="00CF51A9"/>
    <w:rsid w:val="00CF52FC"/>
    <w:rsid w:val="00CF5354"/>
    <w:rsid w:val="00CF64EF"/>
    <w:rsid w:val="00CF65DF"/>
    <w:rsid w:val="00CF6853"/>
    <w:rsid w:val="00CF6B00"/>
    <w:rsid w:val="00CF716B"/>
    <w:rsid w:val="00CF72E0"/>
    <w:rsid w:val="00CF74C5"/>
    <w:rsid w:val="00CF74E1"/>
    <w:rsid w:val="00CF765B"/>
    <w:rsid w:val="00CF774D"/>
    <w:rsid w:val="00CF7772"/>
    <w:rsid w:val="00CF7FAE"/>
    <w:rsid w:val="00D000A0"/>
    <w:rsid w:val="00D00239"/>
    <w:rsid w:val="00D005D9"/>
    <w:rsid w:val="00D00CD4"/>
    <w:rsid w:val="00D0114E"/>
    <w:rsid w:val="00D0131A"/>
    <w:rsid w:val="00D013ED"/>
    <w:rsid w:val="00D01435"/>
    <w:rsid w:val="00D01E54"/>
    <w:rsid w:val="00D025F9"/>
    <w:rsid w:val="00D032E7"/>
    <w:rsid w:val="00D03469"/>
    <w:rsid w:val="00D039B6"/>
    <w:rsid w:val="00D03CB9"/>
    <w:rsid w:val="00D04271"/>
    <w:rsid w:val="00D0438B"/>
    <w:rsid w:val="00D0458F"/>
    <w:rsid w:val="00D0497E"/>
    <w:rsid w:val="00D04BC3"/>
    <w:rsid w:val="00D04C12"/>
    <w:rsid w:val="00D04CC9"/>
    <w:rsid w:val="00D04F02"/>
    <w:rsid w:val="00D0523E"/>
    <w:rsid w:val="00D05723"/>
    <w:rsid w:val="00D060E4"/>
    <w:rsid w:val="00D06147"/>
    <w:rsid w:val="00D06488"/>
    <w:rsid w:val="00D06951"/>
    <w:rsid w:val="00D06DC1"/>
    <w:rsid w:val="00D06EDC"/>
    <w:rsid w:val="00D07084"/>
    <w:rsid w:val="00D070C5"/>
    <w:rsid w:val="00D07237"/>
    <w:rsid w:val="00D076F6"/>
    <w:rsid w:val="00D079E0"/>
    <w:rsid w:val="00D07BCF"/>
    <w:rsid w:val="00D07D42"/>
    <w:rsid w:val="00D10037"/>
    <w:rsid w:val="00D10BE0"/>
    <w:rsid w:val="00D111E9"/>
    <w:rsid w:val="00D1236B"/>
    <w:rsid w:val="00D12CFA"/>
    <w:rsid w:val="00D13039"/>
    <w:rsid w:val="00D133D2"/>
    <w:rsid w:val="00D1376C"/>
    <w:rsid w:val="00D137F6"/>
    <w:rsid w:val="00D13A8D"/>
    <w:rsid w:val="00D14347"/>
    <w:rsid w:val="00D1444E"/>
    <w:rsid w:val="00D145D7"/>
    <w:rsid w:val="00D14C31"/>
    <w:rsid w:val="00D15192"/>
    <w:rsid w:val="00D15253"/>
    <w:rsid w:val="00D1530C"/>
    <w:rsid w:val="00D1534A"/>
    <w:rsid w:val="00D154B8"/>
    <w:rsid w:val="00D1568F"/>
    <w:rsid w:val="00D156F2"/>
    <w:rsid w:val="00D15997"/>
    <w:rsid w:val="00D15B61"/>
    <w:rsid w:val="00D15BBE"/>
    <w:rsid w:val="00D15DD0"/>
    <w:rsid w:val="00D16AC4"/>
    <w:rsid w:val="00D170A1"/>
    <w:rsid w:val="00D170C5"/>
    <w:rsid w:val="00D171A8"/>
    <w:rsid w:val="00D1766B"/>
    <w:rsid w:val="00D2009D"/>
    <w:rsid w:val="00D202B3"/>
    <w:rsid w:val="00D20585"/>
    <w:rsid w:val="00D205A6"/>
    <w:rsid w:val="00D20A83"/>
    <w:rsid w:val="00D20B1F"/>
    <w:rsid w:val="00D210DD"/>
    <w:rsid w:val="00D21316"/>
    <w:rsid w:val="00D216D1"/>
    <w:rsid w:val="00D21B89"/>
    <w:rsid w:val="00D21CA1"/>
    <w:rsid w:val="00D21E4C"/>
    <w:rsid w:val="00D2218D"/>
    <w:rsid w:val="00D22724"/>
    <w:rsid w:val="00D23078"/>
    <w:rsid w:val="00D230DF"/>
    <w:rsid w:val="00D23647"/>
    <w:rsid w:val="00D23674"/>
    <w:rsid w:val="00D23ABF"/>
    <w:rsid w:val="00D23B75"/>
    <w:rsid w:val="00D23C92"/>
    <w:rsid w:val="00D23D82"/>
    <w:rsid w:val="00D243F5"/>
    <w:rsid w:val="00D2490E"/>
    <w:rsid w:val="00D2494A"/>
    <w:rsid w:val="00D249C7"/>
    <w:rsid w:val="00D25013"/>
    <w:rsid w:val="00D2535B"/>
    <w:rsid w:val="00D25402"/>
    <w:rsid w:val="00D25B0D"/>
    <w:rsid w:val="00D25B0F"/>
    <w:rsid w:val="00D25D89"/>
    <w:rsid w:val="00D2652A"/>
    <w:rsid w:val="00D265E3"/>
    <w:rsid w:val="00D274F0"/>
    <w:rsid w:val="00D27698"/>
    <w:rsid w:val="00D27AD0"/>
    <w:rsid w:val="00D27CB9"/>
    <w:rsid w:val="00D27F7D"/>
    <w:rsid w:val="00D30B27"/>
    <w:rsid w:val="00D31243"/>
    <w:rsid w:val="00D318E9"/>
    <w:rsid w:val="00D31927"/>
    <w:rsid w:val="00D32290"/>
    <w:rsid w:val="00D32692"/>
    <w:rsid w:val="00D3308B"/>
    <w:rsid w:val="00D33380"/>
    <w:rsid w:val="00D333C0"/>
    <w:rsid w:val="00D3372E"/>
    <w:rsid w:val="00D33CFB"/>
    <w:rsid w:val="00D33D12"/>
    <w:rsid w:val="00D340F3"/>
    <w:rsid w:val="00D3419D"/>
    <w:rsid w:val="00D3437E"/>
    <w:rsid w:val="00D346A7"/>
    <w:rsid w:val="00D346CB"/>
    <w:rsid w:val="00D348C2"/>
    <w:rsid w:val="00D34AD1"/>
    <w:rsid w:val="00D35863"/>
    <w:rsid w:val="00D35CFC"/>
    <w:rsid w:val="00D36188"/>
    <w:rsid w:val="00D36979"/>
    <w:rsid w:val="00D3699A"/>
    <w:rsid w:val="00D377A9"/>
    <w:rsid w:val="00D37899"/>
    <w:rsid w:val="00D37919"/>
    <w:rsid w:val="00D3791A"/>
    <w:rsid w:val="00D37BBB"/>
    <w:rsid w:val="00D37F8A"/>
    <w:rsid w:val="00D40027"/>
    <w:rsid w:val="00D4024A"/>
    <w:rsid w:val="00D407A1"/>
    <w:rsid w:val="00D40902"/>
    <w:rsid w:val="00D40D02"/>
    <w:rsid w:val="00D41105"/>
    <w:rsid w:val="00D41350"/>
    <w:rsid w:val="00D417DB"/>
    <w:rsid w:val="00D418B1"/>
    <w:rsid w:val="00D418CC"/>
    <w:rsid w:val="00D41D66"/>
    <w:rsid w:val="00D42668"/>
    <w:rsid w:val="00D42CAA"/>
    <w:rsid w:val="00D42CD8"/>
    <w:rsid w:val="00D42E4E"/>
    <w:rsid w:val="00D4327F"/>
    <w:rsid w:val="00D432F1"/>
    <w:rsid w:val="00D434E0"/>
    <w:rsid w:val="00D436ED"/>
    <w:rsid w:val="00D43705"/>
    <w:rsid w:val="00D43781"/>
    <w:rsid w:val="00D43809"/>
    <w:rsid w:val="00D43B36"/>
    <w:rsid w:val="00D43F5E"/>
    <w:rsid w:val="00D4403F"/>
    <w:rsid w:val="00D447B9"/>
    <w:rsid w:val="00D449CD"/>
    <w:rsid w:val="00D44E93"/>
    <w:rsid w:val="00D44EA2"/>
    <w:rsid w:val="00D44F8B"/>
    <w:rsid w:val="00D45050"/>
    <w:rsid w:val="00D45960"/>
    <w:rsid w:val="00D459B3"/>
    <w:rsid w:val="00D45C36"/>
    <w:rsid w:val="00D45C92"/>
    <w:rsid w:val="00D46122"/>
    <w:rsid w:val="00D4614F"/>
    <w:rsid w:val="00D463C4"/>
    <w:rsid w:val="00D466BB"/>
    <w:rsid w:val="00D4696F"/>
    <w:rsid w:val="00D469D9"/>
    <w:rsid w:val="00D46A05"/>
    <w:rsid w:val="00D46B6E"/>
    <w:rsid w:val="00D46D62"/>
    <w:rsid w:val="00D47206"/>
    <w:rsid w:val="00D47383"/>
    <w:rsid w:val="00D47828"/>
    <w:rsid w:val="00D47A5A"/>
    <w:rsid w:val="00D47B66"/>
    <w:rsid w:val="00D500D6"/>
    <w:rsid w:val="00D505CE"/>
    <w:rsid w:val="00D50663"/>
    <w:rsid w:val="00D5083C"/>
    <w:rsid w:val="00D509CA"/>
    <w:rsid w:val="00D51348"/>
    <w:rsid w:val="00D51580"/>
    <w:rsid w:val="00D515EE"/>
    <w:rsid w:val="00D518C8"/>
    <w:rsid w:val="00D51AFE"/>
    <w:rsid w:val="00D51B91"/>
    <w:rsid w:val="00D51D74"/>
    <w:rsid w:val="00D51E3A"/>
    <w:rsid w:val="00D51F15"/>
    <w:rsid w:val="00D51F77"/>
    <w:rsid w:val="00D521CE"/>
    <w:rsid w:val="00D521F5"/>
    <w:rsid w:val="00D52CC7"/>
    <w:rsid w:val="00D532D8"/>
    <w:rsid w:val="00D53333"/>
    <w:rsid w:val="00D533F3"/>
    <w:rsid w:val="00D536F5"/>
    <w:rsid w:val="00D539C0"/>
    <w:rsid w:val="00D53C02"/>
    <w:rsid w:val="00D53C69"/>
    <w:rsid w:val="00D54577"/>
    <w:rsid w:val="00D54700"/>
    <w:rsid w:val="00D55154"/>
    <w:rsid w:val="00D55A5D"/>
    <w:rsid w:val="00D55E9F"/>
    <w:rsid w:val="00D55F47"/>
    <w:rsid w:val="00D561F7"/>
    <w:rsid w:val="00D5624A"/>
    <w:rsid w:val="00D5661C"/>
    <w:rsid w:val="00D567C1"/>
    <w:rsid w:val="00D568B6"/>
    <w:rsid w:val="00D56A7C"/>
    <w:rsid w:val="00D5743A"/>
    <w:rsid w:val="00D57A94"/>
    <w:rsid w:val="00D57DCD"/>
    <w:rsid w:val="00D600FF"/>
    <w:rsid w:val="00D60607"/>
    <w:rsid w:val="00D606FF"/>
    <w:rsid w:val="00D60B91"/>
    <w:rsid w:val="00D60B9C"/>
    <w:rsid w:val="00D60DAF"/>
    <w:rsid w:val="00D60F2C"/>
    <w:rsid w:val="00D6110F"/>
    <w:rsid w:val="00D611DD"/>
    <w:rsid w:val="00D614CB"/>
    <w:rsid w:val="00D614F7"/>
    <w:rsid w:val="00D615CF"/>
    <w:rsid w:val="00D617B2"/>
    <w:rsid w:val="00D61D63"/>
    <w:rsid w:val="00D61DCE"/>
    <w:rsid w:val="00D61F25"/>
    <w:rsid w:val="00D6201A"/>
    <w:rsid w:val="00D6233E"/>
    <w:rsid w:val="00D625F6"/>
    <w:rsid w:val="00D62687"/>
    <w:rsid w:val="00D629DA"/>
    <w:rsid w:val="00D62AD7"/>
    <w:rsid w:val="00D62B56"/>
    <w:rsid w:val="00D62C9F"/>
    <w:rsid w:val="00D63BD6"/>
    <w:rsid w:val="00D64243"/>
    <w:rsid w:val="00D644A4"/>
    <w:rsid w:val="00D64D79"/>
    <w:rsid w:val="00D6521C"/>
    <w:rsid w:val="00D6555D"/>
    <w:rsid w:val="00D65617"/>
    <w:rsid w:val="00D656C8"/>
    <w:rsid w:val="00D65730"/>
    <w:rsid w:val="00D660FE"/>
    <w:rsid w:val="00D66116"/>
    <w:rsid w:val="00D66395"/>
    <w:rsid w:val="00D668C5"/>
    <w:rsid w:val="00D66942"/>
    <w:rsid w:val="00D66F38"/>
    <w:rsid w:val="00D67080"/>
    <w:rsid w:val="00D67A89"/>
    <w:rsid w:val="00D7014B"/>
    <w:rsid w:val="00D707B3"/>
    <w:rsid w:val="00D708EC"/>
    <w:rsid w:val="00D71088"/>
    <w:rsid w:val="00D71819"/>
    <w:rsid w:val="00D71929"/>
    <w:rsid w:val="00D71B97"/>
    <w:rsid w:val="00D72305"/>
    <w:rsid w:val="00D726B3"/>
    <w:rsid w:val="00D72CCD"/>
    <w:rsid w:val="00D72F37"/>
    <w:rsid w:val="00D7307A"/>
    <w:rsid w:val="00D731DE"/>
    <w:rsid w:val="00D73AFA"/>
    <w:rsid w:val="00D73C1D"/>
    <w:rsid w:val="00D73CB5"/>
    <w:rsid w:val="00D73CB7"/>
    <w:rsid w:val="00D74628"/>
    <w:rsid w:val="00D74732"/>
    <w:rsid w:val="00D74870"/>
    <w:rsid w:val="00D74A0E"/>
    <w:rsid w:val="00D74FD5"/>
    <w:rsid w:val="00D75301"/>
    <w:rsid w:val="00D7550B"/>
    <w:rsid w:val="00D7558B"/>
    <w:rsid w:val="00D75E9C"/>
    <w:rsid w:val="00D75F60"/>
    <w:rsid w:val="00D760C4"/>
    <w:rsid w:val="00D761C3"/>
    <w:rsid w:val="00D768B3"/>
    <w:rsid w:val="00D76B26"/>
    <w:rsid w:val="00D76C08"/>
    <w:rsid w:val="00D76F41"/>
    <w:rsid w:val="00D77354"/>
    <w:rsid w:val="00D773A1"/>
    <w:rsid w:val="00D77C3B"/>
    <w:rsid w:val="00D8024E"/>
    <w:rsid w:val="00D804C7"/>
    <w:rsid w:val="00D80D19"/>
    <w:rsid w:val="00D80D90"/>
    <w:rsid w:val="00D812EF"/>
    <w:rsid w:val="00D815B1"/>
    <w:rsid w:val="00D8189A"/>
    <w:rsid w:val="00D81EC2"/>
    <w:rsid w:val="00D8200A"/>
    <w:rsid w:val="00D8204E"/>
    <w:rsid w:val="00D820C3"/>
    <w:rsid w:val="00D82467"/>
    <w:rsid w:val="00D82BB6"/>
    <w:rsid w:val="00D83287"/>
    <w:rsid w:val="00D837B4"/>
    <w:rsid w:val="00D83988"/>
    <w:rsid w:val="00D83D13"/>
    <w:rsid w:val="00D842E8"/>
    <w:rsid w:val="00D844DC"/>
    <w:rsid w:val="00D845D3"/>
    <w:rsid w:val="00D84E11"/>
    <w:rsid w:val="00D853EF"/>
    <w:rsid w:val="00D8575D"/>
    <w:rsid w:val="00D85832"/>
    <w:rsid w:val="00D85982"/>
    <w:rsid w:val="00D85FAA"/>
    <w:rsid w:val="00D861B1"/>
    <w:rsid w:val="00D863F0"/>
    <w:rsid w:val="00D865A3"/>
    <w:rsid w:val="00D86929"/>
    <w:rsid w:val="00D87147"/>
    <w:rsid w:val="00D87394"/>
    <w:rsid w:val="00D87B3A"/>
    <w:rsid w:val="00D87D03"/>
    <w:rsid w:val="00D87D6C"/>
    <w:rsid w:val="00D87E3D"/>
    <w:rsid w:val="00D87E52"/>
    <w:rsid w:val="00D87EB4"/>
    <w:rsid w:val="00D87F7B"/>
    <w:rsid w:val="00D900EB"/>
    <w:rsid w:val="00D90192"/>
    <w:rsid w:val="00D902AD"/>
    <w:rsid w:val="00D904DE"/>
    <w:rsid w:val="00D907AA"/>
    <w:rsid w:val="00D90866"/>
    <w:rsid w:val="00D90BC8"/>
    <w:rsid w:val="00D90FB5"/>
    <w:rsid w:val="00D910F4"/>
    <w:rsid w:val="00D9147E"/>
    <w:rsid w:val="00D91637"/>
    <w:rsid w:val="00D91794"/>
    <w:rsid w:val="00D91BA5"/>
    <w:rsid w:val="00D923AD"/>
    <w:rsid w:val="00D928CB"/>
    <w:rsid w:val="00D92C1A"/>
    <w:rsid w:val="00D92FFB"/>
    <w:rsid w:val="00D939FA"/>
    <w:rsid w:val="00D93A41"/>
    <w:rsid w:val="00D93A95"/>
    <w:rsid w:val="00D93B03"/>
    <w:rsid w:val="00D93EEA"/>
    <w:rsid w:val="00D9419F"/>
    <w:rsid w:val="00D942D1"/>
    <w:rsid w:val="00D944E5"/>
    <w:rsid w:val="00D94755"/>
    <w:rsid w:val="00D9478D"/>
    <w:rsid w:val="00D94978"/>
    <w:rsid w:val="00D949B9"/>
    <w:rsid w:val="00D94A19"/>
    <w:rsid w:val="00D94B03"/>
    <w:rsid w:val="00D94DD7"/>
    <w:rsid w:val="00D94FD5"/>
    <w:rsid w:val="00D950AD"/>
    <w:rsid w:val="00D95419"/>
    <w:rsid w:val="00D95533"/>
    <w:rsid w:val="00D9571F"/>
    <w:rsid w:val="00D9601B"/>
    <w:rsid w:val="00D96021"/>
    <w:rsid w:val="00D960DE"/>
    <w:rsid w:val="00D96505"/>
    <w:rsid w:val="00D96667"/>
    <w:rsid w:val="00D96A0E"/>
    <w:rsid w:val="00D96FDB"/>
    <w:rsid w:val="00D974CC"/>
    <w:rsid w:val="00D975D8"/>
    <w:rsid w:val="00D977E4"/>
    <w:rsid w:val="00D97A1B"/>
    <w:rsid w:val="00D97D0A"/>
    <w:rsid w:val="00D97F98"/>
    <w:rsid w:val="00DA0318"/>
    <w:rsid w:val="00DA0419"/>
    <w:rsid w:val="00DA05E1"/>
    <w:rsid w:val="00DA0743"/>
    <w:rsid w:val="00DA08AD"/>
    <w:rsid w:val="00DA0A0D"/>
    <w:rsid w:val="00DA0CA9"/>
    <w:rsid w:val="00DA14C8"/>
    <w:rsid w:val="00DA1750"/>
    <w:rsid w:val="00DA177D"/>
    <w:rsid w:val="00DA17C4"/>
    <w:rsid w:val="00DA17CF"/>
    <w:rsid w:val="00DA218D"/>
    <w:rsid w:val="00DA2246"/>
    <w:rsid w:val="00DA26A7"/>
    <w:rsid w:val="00DA2C08"/>
    <w:rsid w:val="00DA2D7F"/>
    <w:rsid w:val="00DA2E65"/>
    <w:rsid w:val="00DA2F20"/>
    <w:rsid w:val="00DA32D5"/>
    <w:rsid w:val="00DA36C2"/>
    <w:rsid w:val="00DA3953"/>
    <w:rsid w:val="00DA3D1C"/>
    <w:rsid w:val="00DA4C51"/>
    <w:rsid w:val="00DA5073"/>
    <w:rsid w:val="00DA54DE"/>
    <w:rsid w:val="00DA5A3C"/>
    <w:rsid w:val="00DA5AFD"/>
    <w:rsid w:val="00DA607D"/>
    <w:rsid w:val="00DA6381"/>
    <w:rsid w:val="00DA6532"/>
    <w:rsid w:val="00DA6B7A"/>
    <w:rsid w:val="00DA6F82"/>
    <w:rsid w:val="00DA724C"/>
    <w:rsid w:val="00DA7730"/>
    <w:rsid w:val="00DA78A4"/>
    <w:rsid w:val="00DA7C44"/>
    <w:rsid w:val="00DA7D65"/>
    <w:rsid w:val="00DB01E9"/>
    <w:rsid w:val="00DB0395"/>
    <w:rsid w:val="00DB03B0"/>
    <w:rsid w:val="00DB06A3"/>
    <w:rsid w:val="00DB0884"/>
    <w:rsid w:val="00DB0890"/>
    <w:rsid w:val="00DB090B"/>
    <w:rsid w:val="00DB0AD9"/>
    <w:rsid w:val="00DB0E15"/>
    <w:rsid w:val="00DB0F45"/>
    <w:rsid w:val="00DB1530"/>
    <w:rsid w:val="00DB18C9"/>
    <w:rsid w:val="00DB2576"/>
    <w:rsid w:val="00DB2DE7"/>
    <w:rsid w:val="00DB2F18"/>
    <w:rsid w:val="00DB319C"/>
    <w:rsid w:val="00DB359C"/>
    <w:rsid w:val="00DB35D3"/>
    <w:rsid w:val="00DB3A08"/>
    <w:rsid w:val="00DB3B33"/>
    <w:rsid w:val="00DB4789"/>
    <w:rsid w:val="00DB481E"/>
    <w:rsid w:val="00DB4B1A"/>
    <w:rsid w:val="00DB4B8D"/>
    <w:rsid w:val="00DB5126"/>
    <w:rsid w:val="00DB592F"/>
    <w:rsid w:val="00DB5C88"/>
    <w:rsid w:val="00DB5E5D"/>
    <w:rsid w:val="00DB6036"/>
    <w:rsid w:val="00DB6368"/>
    <w:rsid w:val="00DB6560"/>
    <w:rsid w:val="00DB68C1"/>
    <w:rsid w:val="00DB6AD2"/>
    <w:rsid w:val="00DB6BA1"/>
    <w:rsid w:val="00DB6E69"/>
    <w:rsid w:val="00DB74A6"/>
    <w:rsid w:val="00DB751F"/>
    <w:rsid w:val="00DB757D"/>
    <w:rsid w:val="00DB7657"/>
    <w:rsid w:val="00DC0549"/>
    <w:rsid w:val="00DC07E3"/>
    <w:rsid w:val="00DC0CDB"/>
    <w:rsid w:val="00DC0CDD"/>
    <w:rsid w:val="00DC0E21"/>
    <w:rsid w:val="00DC10D8"/>
    <w:rsid w:val="00DC144F"/>
    <w:rsid w:val="00DC1CB3"/>
    <w:rsid w:val="00DC1D52"/>
    <w:rsid w:val="00DC1EA2"/>
    <w:rsid w:val="00DC225C"/>
    <w:rsid w:val="00DC2484"/>
    <w:rsid w:val="00DC24D9"/>
    <w:rsid w:val="00DC252D"/>
    <w:rsid w:val="00DC25A7"/>
    <w:rsid w:val="00DC25A8"/>
    <w:rsid w:val="00DC26B6"/>
    <w:rsid w:val="00DC2B13"/>
    <w:rsid w:val="00DC2B31"/>
    <w:rsid w:val="00DC34CB"/>
    <w:rsid w:val="00DC37C4"/>
    <w:rsid w:val="00DC3A47"/>
    <w:rsid w:val="00DC3FA9"/>
    <w:rsid w:val="00DC405A"/>
    <w:rsid w:val="00DC4289"/>
    <w:rsid w:val="00DC4293"/>
    <w:rsid w:val="00DC459A"/>
    <w:rsid w:val="00DC45C8"/>
    <w:rsid w:val="00DC4C4E"/>
    <w:rsid w:val="00DC4D75"/>
    <w:rsid w:val="00DC4E3D"/>
    <w:rsid w:val="00DC513F"/>
    <w:rsid w:val="00DC5282"/>
    <w:rsid w:val="00DC5BEB"/>
    <w:rsid w:val="00DC631F"/>
    <w:rsid w:val="00DC6967"/>
    <w:rsid w:val="00DC7059"/>
    <w:rsid w:val="00DC721E"/>
    <w:rsid w:val="00DC7513"/>
    <w:rsid w:val="00DC7942"/>
    <w:rsid w:val="00DC79B3"/>
    <w:rsid w:val="00DC7D81"/>
    <w:rsid w:val="00DC7DC6"/>
    <w:rsid w:val="00DD0094"/>
    <w:rsid w:val="00DD013E"/>
    <w:rsid w:val="00DD0A73"/>
    <w:rsid w:val="00DD0B8F"/>
    <w:rsid w:val="00DD1599"/>
    <w:rsid w:val="00DD1983"/>
    <w:rsid w:val="00DD1BD6"/>
    <w:rsid w:val="00DD1EE1"/>
    <w:rsid w:val="00DD1FB7"/>
    <w:rsid w:val="00DD2306"/>
    <w:rsid w:val="00DD25B9"/>
    <w:rsid w:val="00DD2CA6"/>
    <w:rsid w:val="00DD2CD0"/>
    <w:rsid w:val="00DD2DBC"/>
    <w:rsid w:val="00DD2F26"/>
    <w:rsid w:val="00DD2F28"/>
    <w:rsid w:val="00DD3610"/>
    <w:rsid w:val="00DD361E"/>
    <w:rsid w:val="00DD38F4"/>
    <w:rsid w:val="00DD39B1"/>
    <w:rsid w:val="00DD403E"/>
    <w:rsid w:val="00DD4821"/>
    <w:rsid w:val="00DD493E"/>
    <w:rsid w:val="00DD4B93"/>
    <w:rsid w:val="00DD5896"/>
    <w:rsid w:val="00DD5E91"/>
    <w:rsid w:val="00DD6F43"/>
    <w:rsid w:val="00DD729A"/>
    <w:rsid w:val="00DD7A57"/>
    <w:rsid w:val="00DE0042"/>
    <w:rsid w:val="00DE04C1"/>
    <w:rsid w:val="00DE08C8"/>
    <w:rsid w:val="00DE0926"/>
    <w:rsid w:val="00DE0940"/>
    <w:rsid w:val="00DE0B12"/>
    <w:rsid w:val="00DE0E00"/>
    <w:rsid w:val="00DE103C"/>
    <w:rsid w:val="00DE11D3"/>
    <w:rsid w:val="00DE16D1"/>
    <w:rsid w:val="00DE173B"/>
    <w:rsid w:val="00DE1CDA"/>
    <w:rsid w:val="00DE219B"/>
    <w:rsid w:val="00DE246C"/>
    <w:rsid w:val="00DE24E7"/>
    <w:rsid w:val="00DE2A54"/>
    <w:rsid w:val="00DE2BFA"/>
    <w:rsid w:val="00DE2C32"/>
    <w:rsid w:val="00DE2F26"/>
    <w:rsid w:val="00DE2FEF"/>
    <w:rsid w:val="00DE31C9"/>
    <w:rsid w:val="00DE320E"/>
    <w:rsid w:val="00DE34A1"/>
    <w:rsid w:val="00DE374C"/>
    <w:rsid w:val="00DE3845"/>
    <w:rsid w:val="00DE38E7"/>
    <w:rsid w:val="00DE3912"/>
    <w:rsid w:val="00DE39B8"/>
    <w:rsid w:val="00DE3E87"/>
    <w:rsid w:val="00DE3F74"/>
    <w:rsid w:val="00DE3F78"/>
    <w:rsid w:val="00DE4309"/>
    <w:rsid w:val="00DE44CB"/>
    <w:rsid w:val="00DE44FB"/>
    <w:rsid w:val="00DE4675"/>
    <w:rsid w:val="00DE4868"/>
    <w:rsid w:val="00DE4A4C"/>
    <w:rsid w:val="00DE5536"/>
    <w:rsid w:val="00DE5634"/>
    <w:rsid w:val="00DE5740"/>
    <w:rsid w:val="00DE584E"/>
    <w:rsid w:val="00DE5DB5"/>
    <w:rsid w:val="00DE627C"/>
    <w:rsid w:val="00DE662D"/>
    <w:rsid w:val="00DE69D4"/>
    <w:rsid w:val="00DE6D4D"/>
    <w:rsid w:val="00DE6E7D"/>
    <w:rsid w:val="00DE7343"/>
    <w:rsid w:val="00DE749C"/>
    <w:rsid w:val="00DE7AFF"/>
    <w:rsid w:val="00DE7B36"/>
    <w:rsid w:val="00DE7DD7"/>
    <w:rsid w:val="00DF003D"/>
    <w:rsid w:val="00DF00AC"/>
    <w:rsid w:val="00DF039B"/>
    <w:rsid w:val="00DF0715"/>
    <w:rsid w:val="00DF076F"/>
    <w:rsid w:val="00DF0921"/>
    <w:rsid w:val="00DF0BB2"/>
    <w:rsid w:val="00DF0D38"/>
    <w:rsid w:val="00DF0EC7"/>
    <w:rsid w:val="00DF0F85"/>
    <w:rsid w:val="00DF0FCB"/>
    <w:rsid w:val="00DF1429"/>
    <w:rsid w:val="00DF146B"/>
    <w:rsid w:val="00DF18CF"/>
    <w:rsid w:val="00DF2148"/>
    <w:rsid w:val="00DF2494"/>
    <w:rsid w:val="00DF261A"/>
    <w:rsid w:val="00DF272D"/>
    <w:rsid w:val="00DF2BBC"/>
    <w:rsid w:val="00DF36DD"/>
    <w:rsid w:val="00DF4537"/>
    <w:rsid w:val="00DF4A25"/>
    <w:rsid w:val="00DF4ADF"/>
    <w:rsid w:val="00DF4D71"/>
    <w:rsid w:val="00DF4ECE"/>
    <w:rsid w:val="00DF5236"/>
    <w:rsid w:val="00DF534F"/>
    <w:rsid w:val="00DF5443"/>
    <w:rsid w:val="00DF5C94"/>
    <w:rsid w:val="00DF5E84"/>
    <w:rsid w:val="00DF5EE0"/>
    <w:rsid w:val="00DF60F3"/>
    <w:rsid w:val="00DF6494"/>
    <w:rsid w:val="00DF6580"/>
    <w:rsid w:val="00DF67CC"/>
    <w:rsid w:val="00DF71B5"/>
    <w:rsid w:val="00DF76A4"/>
    <w:rsid w:val="00DF7D91"/>
    <w:rsid w:val="00DF7F1B"/>
    <w:rsid w:val="00E00192"/>
    <w:rsid w:val="00E001DE"/>
    <w:rsid w:val="00E00315"/>
    <w:rsid w:val="00E00321"/>
    <w:rsid w:val="00E0075F"/>
    <w:rsid w:val="00E01899"/>
    <w:rsid w:val="00E01DE6"/>
    <w:rsid w:val="00E01E33"/>
    <w:rsid w:val="00E02551"/>
    <w:rsid w:val="00E02713"/>
    <w:rsid w:val="00E0288A"/>
    <w:rsid w:val="00E02BEC"/>
    <w:rsid w:val="00E02DB7"/>
    <w:rsid w:val="00E034C4"/>
    <w:rsid w:val="00E03C26"/>
    <w:rsid w:val="00E03C54"/>
    <w:rsid w:val="00E04041"/>
    <w:rsid w:val="00E042F2"/>
    <w:rsid w:val="00E04306"/>
    <w:rsid w:val="00E044DF"/>
    <w:rsid w:val="00E04757"/>
    <w:rsid w:val="00E04812"/>
    <w:rsid w:val="00E0500D"/>
    <w:rsid w:val="00E05196"/>
    <w:rsid w:val="00E05511"/>
    <w:rsid w:val="00E05526"/>
    <w:rsid w:val="00E059E1"/>
    <w:rsid w:val="00E05A27"/>
    <w:rsid w:val="00E05B68"/>
    <w:rsid w:val="00E05BB1"/>
    <w:rsid w:val="00E05BBB"/>
    <w:rsid w:val="00E05BE5"/>
    <w:rsid w:val="00E0646A"/>
    <w:rsid w:val="00E06B3F"/>
    <w:rsid w:val="00E06B52"/>
    <w:rsid w:val="00E072B6"/>
    <w:rsid w:val="00E07624"/>
    <w:rsid w:val="00E07833"/>
    <w:rsid w:val="00E07A25"/>
    <w:rsid w:val="00E07CA6"/>
    <w:rsid w:val="00E07F27"/>
    <w:rsid w:val="00E100EE"/>
    <w:rsid w:val="00E1014A"/>
    <w:rsid w:val="00E10850"/>
    <w:rsid w:val="00E10C83"/>
    <w:rsid w:val="00E10CF1"/>
    <w:rsid w:val="00E10EED"/>
    <w:rsid w:val="00E10F7D"/>
    <w:rsid w:val="00E110BD"/>
    <w:rsid w:val="00E1210B"/>
    <w:rsid w:val="00E1212A"/>
    <w:rsid w:val="00E121A2"/>
    <w:rsid w:val="00E124A7"/>
    <w:rsid w:val="00E1290A"/>
    <w:rsid w:val="00E12912"/>
    <w:rsid w:val="00E12A4B"/>
    <w:rsid w:val="00E12F0B"/>
    <w:rsid w:val="00E13834"/>
    <w:rsid w:val="00E1398B"/>
    <w:rsid w:val="00E13C27"/>
    <w:rsid w:val="00E13DCC"/>
    <w:rsid w:val="00E13E24"/>
    <w:rsid w:val="00E14779"/>
    <w:rsid w:val="00E14A95"/>
    <w:rsid w:val="00E14D66"/>
    <w:rsid w:val="00E15390"/>
    <w:rsid w:val="00E153C1"/>
    <w:rsid w:val="00E1566C"/>
    <w:rsid w:val="00E15AF4"/>
    <w:rsid w:val="00E15B82"/>
    <w:rsid w:val="00E161AA"/>
    <w:rsid w:val="00E16250"/>
    <w:rsid w:val="00E162DA"/>
    <w:rsid w:val="00E16B87"/>
    <w:rsid w:val="00E16EB5"/>
    <w:rsid w:val="00E172E3"/>
    <w:rsid w:val="00E173C6"/>
    <w:rsid w:val="00E1755B"/>
    <w:rsid w:val="00E176D7"/>
    <w:rsid w:val="00E17AAA"/>
    <w:rsid w:val="00E17E3B"/>
    <w:rsid w:val="00E2035B"/>
    <w:rsid w:val="00E20BA0"/>
    <w:rsid w:val="00E20DFF"/>
    <w:rsid w:val="00E20EC8"/>
    <w:rsid w:val="00E20F38"/>
    <w:rsid w:val="00E2116E"/>
    <w:rsid w:val="00E21826"/>
    <w:rsid w:val="00E219C5"/>
    <w:rsid w:val="00E22066"/>
    <w:rsid w:val="00E2211B"/>
    <w:rsid w:val="00E22445"/>
    <w:rsid w:val="00E229FF"/>
    <w:rsid w:val="00E22E1C"/>
    <w:rsid w:val="00E23012"/>
    <w:rsid w:val="00E2335A"/>
    <w:rsid w:val="00E234A5"/>
    <w:rsid w:val="00E23624"/>
    <w:rsid w:val="00E23799"/>
    <w:rsid w:val="00E23959"/>
    <w:rsid w:val="00E23A51"/>
    <w:rsid w:val="00E23FFF"/>
    <w:rsid w:val="00E24672"/>
    <w:rsid w:val="00E246BA"/>
    <w:rsid w:val="00E2480D"/>
    <w:rsid w:val="00E24BCB"/>
    <w:rsid w:val="00E24C3E"/>
    <w:rsid w:val="00E24ED1"/>
    <w:rsid w:val="00E24EE3"/>
    <w:rsid w:val="00E25174"/>
    <w:rsid w:val="00E2552E"/>
    <w:rsid w:val="00E257CC"/>
    <w:rsid w:val="00E25C34"/>
    <w:rsid w:val="00E25C42"/>
    <w:rsid w:val="00E25C6D"/>
    <w:rsid w:val="00E25D4C"/>
    <w:rsid w:val="00E25EEF"/>
    <w:rsid w:val="00E2633E"/>
    <w:rsid w:val="00E26806"/>
    <w:rsid w:val="00E26C9D"/>
    <w:rsid w:val="00E2724F"/>
    <w:rsid w:val="00E2738B"/>
    <w:rsid w:val="00E278AB"/>
    <w:rsid w:val="00E27965"/>
    <w:rsid w:val="00E27FFC"/>
    <w:rsid w:val="00E300D5"/>
    <w:rsid w:val="00E30870"/>
    <w:rsid w:val="00E30C23"/>
    <w:rsid w:val="00E30D8B"/>
    <w:rsid w:val="00E30ED3"/>
    <w:rsid w:val="00E31145"/>
    <w:rsid w:val="00E3158A"/>
    <w:rsid w:val="00E315BE"/>
    <w:rsid w:val="00E31BC1"/>
    <w:rsid w:val="00E31DDE"/>
    <w:rsid w:val="00E320FA"/>
    <w:rsid w:val="00E322B4"/>
    <w:rsid w:val="00E32394"/>
    <w:rsid w:val="00E32AE2"/>
    <w:rsid w:val="00E32BCD"/>
    <w:rsid w:val="00E33118"/>
    <w:rsid w:val="00E331B8"/>
    <w:rsid w:val="00E331BF"/>
    <w:rsid w:val="00E33983"/>
    <w:rsid w:val="00E33ADA"/>
    <w:rsid w:val="00E33B1D"/>
    <w:rsid w:val="00E33B86"/>
    <w:rsid w:val="00E33F0D"/>
    <w:rsid w:val="00E34298"/>
    <w:rsid w:val="00E344E1"/>
    <w:rsid w:val="00E34817"/>
    <w:rsid w:val="00E34B38"/>
    <w:rsid w:val="00E3508F"/>
    <w:rsid w:val="00E35978"/>
    <w:rsid w:val="00E359B3"/>
    <w:rsid w:val="00E35DE8"/>
    <w:rsid w:val="00E35E31"/>
    <w:rsid w:val="00E360D2"/>
    <w:rsid w:val="00E36995"/>
    <w:rsid w:val="00E36CD0"/>
    <w:rsid w:val="00E36F33"/>
    <w:rsid w:val="00E374CF"/>
    <w:rsid w:val="00E37580"/>
    <w:rsid w:val="00E37863"/>
    <w:rsid w:val="00E37BC6"/>
    <w:rsid w:val="00E37D63"/>
    <w:rsid w:val="00E40002"/>
    <w:rsid w:val="00E40428"/>
    <w:rsid w:val="00E40595"/>
    <w:rsid w:val="00E40760"/>
    <w:rsid w:val="00E40797"/>
    <w:rsid w:val="00E41068"/>
    <w:rsid w:val="00E415FF"/>
    <w:rsid w:val="00E416DD"/>
    <w:rsid w:val="00E41B00"/>
    <w:rsid w:val="00E41C9F"/>
    <w:rsid w:val="00E41FB9"/>
    <w:rsid w:val="00E436AA"/>
    <w:rsid w:val="00E437E1"/>
    <w:rsid w:val="00E43D01"/>
    <w:rsid w:val="00E446D5"/>
    <w:rsid w:val="00E44874"/>
    <w:rsid w:val="00E44AC4"/>
    <w:rsid w:val="00E44B2D"/>
    <w:rsid w:val="00E44DF6"/>
    <w:rsid w:val="00E44FBD"/>
    <w:rsid w:val="00E4582E"/>
    <w:rsid w:val="00E45A66"/>
    <w:rsid w:val="00E4657F"/>
    <w:rsid w:val="00E46697"/>
    <w:rsid w:val="00E467E8"/>
    <w:rsid w:val="00E46CBC"/>
    <w:rsid w:val="00E4708D"/>
    <w:rsid w:val="00E47153"/>
    <w:rsid w:val="00E471B1"/>
    <w:rsid w:val="00E47246"/>
    <w:rsid w:val="00E47454"/>
    <w:rsid w:val="00E47786"/>
    <w:rsid w:val="00E47852"/>
    <w:rsid w:val="00E47E86"/>
    <w:rsid w:val="00E50221"/>
    <w:rsid w:val="00E5058F"/>
    <w:rsid w:val="00E506D1"/>
    <w:rsid w:val="00E50D6A"/>
    <w:rsid w:val="00E50E8E"/>
    <w:rsid w:val="00E50EA0"/>
    <w:rsid w:val="00E50F2E"/>
    <w:rsid w:val="00E512F2"/>
    <w:rsid w:val="00E513A7"/>
    <w:rsid w:val="00E51584"/>
    <w:rsid w:val="00E515FC"/>
    <w:rsid w:val="00E51BE0"/>
    <w:rsid w:val="00E52184"/>
    <w:rsid w:val="00E526ED"/>
    <w:rsid w:val="00E52744"/>
    <w:rsid w:val="00E528D5"/>
    <w:rsid w:val="00E52A73"/>
    <w:rsid w:val="00E52D4A"/>
    <w:rsid w:val="00E52DF6"/>
    <w:rsid w:val="00E52FC7"/>
    <w:rsid w:val="00E5353E"/>
    <w:rsid w:val="00E5386E"/>
    <w:rsid w:val="00E53D21"/>
    <w:rsid w:val="00E545A9"/>
    <w:rsid w:val="00E5482D"/>
    <w:rsid w:val="00E54B87"/>
    <w:rsid w:val="00E54F4D"/>
    <w:rsid w:val="00E55426"/>
    <w:rsid w:val="00E55B8A"/>
    <w:rsid w:val="00E55D05"/>
    <w:rsid w:val="00E55DBA"/>
    <w:rsid w:val="00E56116"/>
    <w:rsid w:val="00E5628D"/>
    <w:rsid w:val="00E56569"/>
    <w:rsid w:val="00E5656B"/>
    <w:rsid w:val="00E56985"/>
    <w:rsid w:val="00E56DD4"/>
    <w:rsid w:val="00E571DD"/>
    <w:rsid w:val="00E57564"/>
    <w:rsid w:val="00E57744"/>
    <w:rsid w:val="00E5779E"/>
    <w:rsid w:val="00E57A96"/>
    <w:rsid w:val="00E57AE1"/>
    <w:rsid w:val="00E60209"/>
    <w:rsid w:val="00E602E9"/>
    <w:rsid w:val="00E6057D"/>
    <w:rsid w:val="00E607BB"/>
    <w:rsid w:val="00E60824"/>
    <w:rsid w:val="00E60BDA"/>
    <w:rsid w:val="00E60DAC"/>
    <w:rsid w:val="00E60EE2"/>
    <w:rsid w:val="00E61109"/>
    <w:rsid w:val="00E613E8"/>
    <w:rsid w:val="00E614D3"/>
    <w:rsid w:val="00E614FE"/>
    <w:rsid w:val="00E61848"/>
    <w:rsid w:val="00E6188C"/>
    <w:rsid w:val="00E619FC"/>
    <w:rsid w:val="00E62252"/>
    <w:rsid w:val="00E627FE"/>
    <w:rsid w:val="00E62B77"/>
    <w:rsid w:val="00E63392"/>
    <w:rsid w:val="00E6391B"/>
    <w:rsid w:val="00E64068"/>
    <w:rsid w:val="00E64434"/>
    <w:rsid w:val="00E6490C"/>
    <w:rsid w:val="00E64981"/>
    <w:rsid w:val="00E64998"/>
    <w:rsid w:val="00E64B33"/>
    <w:rsid w:val="00E64E24"/>
    <w:rsid w:val="00E65326"/>
    <w:rsid w:val="00E65329"/>
    <w:rsid w:val="00E65B1F"/>
    <w:rsid w:val="00E65D88"/>
    <w:rsid w:val="00E66051"/>
    <w:rsid w:val="00E660F3"/>
    <w:rsid w:val="00E661EA"/>
    <w:rsid w:val="00E6689B"/>
    <w:rsid w:val="00E66DEE"/>
    <w:rsid w:val="00E6738B"/>
    <w:rsid w:val="00E67419"/>
    <w:rsid w:val="00E6770F"/>
    <w:rsid w:val="00E67C8E"/>
    <w:rsid w:val="00E67D65"/>
    <w:rsid w:val="00E70995"/>
    <w:rsid w:val="00E70ACD"/>
    <w:rsid w:val="00E70B33"/>
    <w:rsid w:val="00E70C33"/>
    <w:rsid w:val="00E714CE"/>
    <w:rsid w:val="00E715E4"/>
    <w:rsid w:val="00E71759"/>
    <w:rsid w:val="00E719A3"/>
    <w:rsid w:val="00E71D62"/>
    <w:rsid w:val="00E72082"/>
    <w:rsid w:val="00E725BD"/>
    <w:rsid w:val="00E725DF"/>
    <w:rsid w:val="00E729C4"/>
    <w:rsid w:val="00E73159"/>
    <w:rsid w:val="00E73290"/>
    <w:rsid w:val="00E733E1"/>
    <w:rsid w:val="00E734F4"/>
    <w:rsid w:val="00E73955"/>
    <w:rsid w:val="00E73AAB"/>
    <w:rsid w:val="00E73CC4"/>
    <w:rsid w:val="00E740E6"/>
    <w:rsid w:val="00E74E08"/>
    <w:rsid w:val="00E74F29"/>
    <w:rsid w:val="00E7578B"/>
    <w:rsid w:val="00E758C5"/>
    <w:rsid w:val="00E75EBF"/>
    <w:rsid w:val="00E75F56"/>
    <w:rsid w:val="00E760D7"/>
    <w:rsid w:val="00E76270"/>
    <w:rsid w:val="00E7663F"/>
    <w:rsid w:val="00E766D5"/>
    <w:rsid w:val="00E76EC8"/>
    <w:rsid w:val="00E771A6"/>
    <w:rsid w:val="00E779D0"/>
    <w:rsid w:val="00E77B95"/>
    <w:rsid w:val="00E77FE2"/>
    <w:rsid w:val="00E8026C"/>
    <w:rsid w:val="00E80334"/>
    <w:rsid w:val="00E8081C"/>
    <w:rsid w:val="00E80CE1"/>
    <w:rsid w:val="00E810E3"/>
    <w:rsid w:val="00E811B5"/>
    <w:rsid w:val="00E813AA"/>
    <w:rsid w:val="00E8147C"/>
    <w:rsid w:val="00E81525"/>
    <w:rsid w:val="00E815BD"/>
    <w:rsid w:val="00E81693"/>
    <w:rsid w:val="00E81817"/>
    <w:rsid w:val="00E8224B"/>
    <w:rsid w:val="00E825FD"/>
    <w:rsid w:val="00E82790"/>
    <w:rsid w:val="00E82EE0"/>
    <w:rsid w:val="00E82F3C"/>
    <w:rsid w:val="00E8332F"/>
    <w:rsid w:val="00E833AB"/>
    <w:rsid w:val="00E834A5"/>
    <w:rsid w:val="00E8358E"/>
    <w:rsid w:val="00E8422C"/>
    <w:rsid w:val="00E84295"/>
    <w:rsid w:val="00E8459B"/>
    <w:rsid w:val="00E84A82"/>
    <w:rsid w:val="00E84EE5"/>
    <w:rsid w:val="00E85569"/>
    <w:rsid w:val="00E85910"/>
    <w:rsid w:val="00E8594A"/>
    <w:rsid w:val="00E85FDC"/>
    <w:rsid w:val="00E8629B"/>
    <w:rsid w:val="00E8672E"/>
    <w:rsid w:val="00E86838"/>
    <w:rsid w:val="00E86988"/>
    <w:rsid w:val="00E86A03"/>
    <w:rsid w:val="00E86D03"/>
    <w:rsid w:val="00E87100"/>
    <w:rsid w:val="00E871A9"/>
    <w:rsid w:val="00E87F5B"/>
    <w:rsid w:val="00E903BB"/>
    <w:rsid w:val="00E904E3"/>
    <w:rsid w:val="00E90952"/>
    <w:rsid w:val="00E90D12"/>
    <w:rsid w:val="00E90D40"/>
    <w:rsid w:val="00E90D56"/>
    <w:rsid w:val="00E9109E"/>
    <w:rsid w:val="00E91297"/>
    <w:rsid w:val="00E9129A"/>
    <w:rsid w:val="00E912BF"/>
    <w:rsid w:val="00E9171C"/>
    <w:rsid w:val="00E91885"/>
    <w:rsid w:val="00E921F9"/>
    <w:rsid w:val="00E92B17"/>
    <w:rsid w:val="00E92E99"/>
    <w:rsid w:val="00E92EF3"/>
    <w:rsid w:val="00E93069"/>
    <w:rsid w:val="00E931FB"/>
    <w:rsid w:val="00E931FF"/>
    <w:rsid w:val="00E93379"/>
    <w:rsid w:val="00E93546"/>
    <w:rsid w:val="00E93973"/>
    <w:rsid w:val="00E93B35"/>
    <w:rsid w:val="00E93B8C"/>
    <w:rsid w:val="00E94029"/>
    <w:rsid w:val="00E9443B"/>
    <w:rsid w:val="00E94582"/>
    <w:rsid w:val="00E94650"/>
    <w:rsid w:val="00E94AC0"/>
    <w:rsid w:val="00E94E8D"/>
    <w:rsid w:val="00E94F04"/>
    <w:rsid w:val="00E950F4"/>
    <w:rsid w:val="00E95440"/>
    <w:rsid w:val="00E95486"/>
    <w:rsid w:val="00E956A8"/>
    <w:rsid w:val="00E959F6"/>
    <w:rsid w:val="00E95CC8"/>
    <w:rsid w:val="00E95DCC"/>
    <w:rsid w:val="00E95E71"/>
    <w:rsid w:val="00E96818"/>
    <w:rsid w:val="00E96D39"/>
    <w:rsid w:val="00E96D4E"/>
    <w:rsid w:val="00E96ED7"/>
    <w:rsid w:val="00E96F97"/>
    <w:rsid w:val="00E97044"/>
    <w:rsid w:val="00E97895"/>
    <w:rsid w:val="00E97BEC"/>
    <w:rsid w:val="00EA012D"/>
    <w:rsid w:val="00EA048E"/>
    <w:rsid w:val="00EA066F"/>
    <w:rsid w:val="00EA0E4A"/>
    <w:rsid w:val="00EA1006"/>
    <w:rsid w:val="00EA157B"/>
    <w:rsid w:val="00EA211D"/>
    <w:rsid w:val="00EA236E"/>
    <w:rsid w:val="00EA288F"/>
    <w:rsid w:val="00EA28A0"/>
    <w:rsid w:val="00EA2958"/>
    <w:rsid w:val="00EA296B"/>
    <w:rsid w:val="00EA2A03"/>
    <w:rsid w:val="00EA320E"/>
    <w:rsid w:val="00EA32F8"/>
    <w:rsid w:val="00EA3512"/>
    <w:rsid w:val="00EA3742"/>
    <w:rsid w:val="00EA37CB"/>
    <w:rsid w:val="00EA3853"/>
    <w:rsid w:val="00EA3970"/>
    <w:rsid w:val="00EA3CCD"/>
    <w:rsid w:val="00EA3CD2"/>
    <w:rsid w:val="00EA3CF5"/>
    <w:rsid w:val="00EA3F1F"/>
    <w:rsid w:val="00EA45CC"/>
    <w:rsid w:val="00EA4CFD"/>
    <w:rsid w:val="00EA5064"/>
    <w:rsid w:val="00EA53DC"/>
    <w:rsid w:val="00EA589C"/>
    <w:rsid w:val="00EA5E2A"/>
    <w:rsid w:val="00EA63BF"/>
    <w:rsid w:val="00EA6521"/>
    <w:rsid w:val="00EA6774"/>
    <w:rsid w:val="00EA6F93"/>
    <w:rsid w:val="00EA7027"/>
    <w:rsid w:val="00EA75DE"/>
    <w:rsid w:val="00EA790B"/>
    <w:rsid w:val="00EA7ED4"/>
    <w:rsid w:val="00EA7F55"/>
    <w:rsid w:val="00EA7F94"/>
    <w:rsid w:val="00EB00A9"/>
    <w:rsid w:val="00EB094E"/>
    <w:rsid w:val="00EB11AB"/>
    <w:rsid w:val="00EB11F3"/>
    <w:rsid w:val="00EB1415"/>
    <w:rsid w:val="00EB18B6"/>
    <w:rsid w:val="00EB19C4"/>
    <w:rsid w:val="00EB1AF7"/>
    <w:rsid w:val="00EB1D37"/>
    <w:rsid w:val="00EB265D"/>
    <w:rsid w:val="00EB2709"/>
    <w:rsid w:val="00EB2997"/>
    <w:rsid w:val="00EB2BF1"/>
    <w:rsid w:val="00EB2ED3"/>
    <w:rsid w:val="00EB3B51"/>
    <w:rsid w:val="00EB3BCE"/>
    <w:rsid w:val="00EB3D63"/>
    <w:rsid w:val="00EB4195"/>
    <w:rsid w:val="00EB42CC"/>
    <w:rsid w:val="00EB444E"/>
    <w:rsid w:val="00EB44BC"/>
    <w:rsid w:val="00EB462F"/>
    <w:rsid w:val="00EB4825"/>
    <w:rsid w:val="00EB4AEA"/>
    <w:rsid w:val="00EB4BA1"/>
    <w:rsid w:val="00EB4C53"/>
    <w:rsid w:val="00EB4D1E"/>
    <w:rsid w:val="00EB4E57"/>
    <w:rsid w:val="00EB5071"/>
    <w:rsid w:val="00EB5130"/>
    <w:rsid w:val="00EB51A9"/>
    <w:rsid w:val="00EB5B23"/>
    <w:rsid w:val="00EB5CB0"/>
    <w:rsid w:val="00EB6262"/>
    <w:rsid w:val="00EB63A2"/>
    <w:rsid w:val="00EB640B"/>
    <w:rsid w:val="00EB6417"/>
    <w:rsid w:val="00EB64D3"/>
    <w:rsid w:val="00EB65BD"/>
    <w:rsid w:val="00EB6785"/>
    <w:rsid w:val="00EB6D8D"/>
    <w:rsid w:val="00EB7069"/>
    <w:rsid w:val="00EB70F9"/>
    <w:rsid w:val="00EB71D7"/>
    <w:rsid w:val="00EB72BE"/>
    <w:rsid w:val="00EB7CCA"/>
    <w:rsid w:val="00EB7D73"/>
    <w:rsid w:val="00EB7EF6"/>
    <w:rsid w:val="00EC024D"/>
    <w:rsid w:val="00EC02A9"/>
    <w:rsid w:val="00EC0708"/>
    <w:rsid w:val="00EC0738"/>
    <w:rsid w:val="00EC0766"/>
    <w:rsid w:val="00EC0E28"/>
    <w:rsid w:val="00EC1107"/>
    <w:rsid w:val="00EC1A8E"/>
    <w:rsid w:val="00EC1AD7"/>
    <w:rsid w:val="00EC1B3E"/>
    <w:rsid w:val="00EC1CAC"/>
    <w:rsid w:val="00EC1D72"/>
    <w:rsid w:val="00EC1FFE"/>
    <w:rsid w:val="00EC210B"/>
    <w:rsid w:val="00EC23D9"/>
    <w:rsid w:val="00EC2400"/>
    <w:rsid w:val="00EC279C"/>
    <w:rsid w:val="00EC29DB"/>
    <w:rsid w:val="00EC2D73"/>
    <w:rsid w:val="00EC331D"/>
    <w:rsid w:val="00EC36E6"/>
    <w:rsid w:val="00EC38F4"/>
    <w:rsid w:val="00EC3CE0"/>
    <w:rsid w:val="00EC4303"/>
    <w:rsid w:val="00EC485D"/>
    <w:rsid w:val="00EC4C96"/>
    <w:rsid w:val="00EC502D"/>
    <w:rsid w:val="00EC5536"/>
    <w:rsid w:val="00EC567B"/>
    <w:rsid w:val="00EC56AF"/>
    <w:rsid w:val="00EC5778"/>
    <w:rsid w:val="00EC58C2"/>
    <w:rsid w:val="00EC5F26"/>
    <w:rsid w:val="00EC6182"/>
    <w:rsid w:val="00EC6379"/>
    <w:rsid w:val="00EC6759"/>
    <w:rsid w:val="00EC71CE"/>
    <w:rsid w:val="00EC73AB"/>
    <w:rsid w:val="00EC777B"/>
    <w:rsid w:val="00EC77BF"/>
    <w:rsid w:val="00EC79F2"/>
    <w:rsid w:val="00EC7F6E"/>
    <w:rsid w:val="00EC7F7D"/>
    <w:rsid w:val="00EC7FD2"/>
    <w:rsid w:val="00ED0273"/>
    <w:rsid w:val="00ED0562"/>
    <w:rsid w:val="00ED062E"/>
    <w:rsid w:val="00ED0892"/>
    <w:rsid w:val="00ED0D4C"/>
    <w:rsid w:val="00ED0DE1"/>
    <w:rsid w:val="00ED0E21"/>
    <w:rsid w:val="00ED0F38"/>
    <w:rsid w:val="00ED1003"/>
    <w:rsid w:val="00ED1186"/>
    <w:rsid w:val="00ED122B"/>
    <w:rsid w:val="00ED1406"/>
    <w:rsid w:val="00ED1A79"/>
    <w:rsid w:val="00ED1F1A"/>
    <w:rsid w:val="00ED216D"/>
    <w:rsid w:val="00ED274C"/>
    <w:rsid w:val="00ED2F66"/>
    <w:rsid w:val="00ED2F92"/>
    <w:rsid w:val="00ED3287"/>
    <w:rsid w:val="00ED3B38"/>
    <w:rsid w:val="00ED3BAC"/>
    <w:rsid w:val="00ED4180"/>
    <w:rsid w:val="00ED4578"/>
    <w:rsid w:val="00ED4CA8"/>
    <w:rsid w:val="00ED4F50"/>
    <w:rsid w:val="00ED548D"/>
    <w:rsid w:val="00ED57CD"/>
    <w:rsid w:val="00ED5DA8"/>
    <w:rsid w:val="00ED66BE"/>
    <w:rsid w:val="00ED6CCE"/>
    <w:rsid w:val="00ED75CD"/>
    <w:rsid w:val="00ED775F"/>
    <w:rsid w:val="00ED7762"/>
    <w:rsid w:val="00ED77D6"/>
    <w:rsid w:val="00ED7A8A"/>
    <w:rsid w:val="00EE012F"/>
    <w:rsid w:val="00EE0258"/>
    <w:rsid w:val="00EE0CE3"/>
    <w:rsid w:val="00EE0D48"/>
    <w:rsid w:val="00EE0E96"/>
    <w:rsid w:val="00EE12CF"/>
    <w:rsid w:val="00EE14C0"/>
    <w:rsid w:val="00EE161D"/>
    <w:rsid w:val="00EE1910"/>
    <w:rsid w:val="00EE1FB6"/>
    <w:rsid w:val="00EE261D"/>
    <w:rsid w:val="00EE28C7"/>
    <w:rsid w:val="00EE2C9A"/>
    <w:rsid w:val="00EE30EE"/>
    <w:rsid w:val="00EE3145"/>
    <w:rsid w:val="00EE35B4"/>
    <w:rsid w:val="00EE3865"/>
    <w:rsid w:val="00EE38B2"/>
    <w:rsid w:val="00EE38B9"/>
    <w:rsid w:val="00EE39DF"/>
    <w:rsid w:val="00EE3D12"/>
    <w:rsid w:val="00EE3F85"/>
    <w:rsid w:val="00EE3FEB"/>
    <w:rsid w:val="00EE407C"/>
    <w:rsid w:val="00EE417D"/>
    <w:rsid w:val="00EE438F"/>
    <w:rsid w:val="00EE444F"/>
    <w:rsid w:val="00EE44F9"/>
    <w:rsid w:val="00EE4907"/>
    <w:rsid w:val="00EE4AB8"/>
    <w:rsid w:val="00EE4B29"/>
    <w:rsid w:val="00EE4B76"/>
    <w:rsid w:val="00EE4DD8"/>
    <w:rsid w:val="00EE5ABB"/>
    <w:rsid w:val="00EE5C0A"/>
    <w:rsid w:val="00EE5C32"/>
    <w:rsid w:val="00EE6303"/>
    <w:rsid w:val="00EE6681"/>
    <w:rsid w:val="00EE66C5"/>
    <w:rsid w:val="00EE689F"/>
    <w:rsid w:val="00EE6A5E"/>
    <w:rsid w:val="00EE7548"/>
    <w:rsid w:val="00EE786D"/>
    <w:rsid w:val="00EE7B04"/>
    <w:rsid w:val="00EF0006"/>
    <w:rsid w:val="00EF03BD"/>
    <w:rsid w:val="00EF0A1B"/>
    <w:rsid w:val="00EF0F0E"/>
    <w:rsid w:val="00EF0F5C"/>
    <w:rsid w:val="00EF136C"/>
    <w:rsid w:val="00EF185E"/>
    <w:rsid w:val="00EF1A09"/>
    <w:rsid w:val="00EF2041"/>
    <w:rsid w:val="00EF2535"/>
    <w:rsid w:val="00EF28D8"/>
    <w:rsid w:val="00EF28F2"/>
    <w:rsid w:val="00EF363A"/>
    <w:rsid w:val="00EF37CA"/>
    <w:rsid w:val="00EF399E"/>
    <w:rsid w:val="00EF39B5"/>
    <w:rsid w:val="00EF3A80"/>
    <w:rsid w:val="00EF3F0F"/>
    <w:rsid w:val="00EF4153"/>
    <w:rsid w:val="00EF4197"/>
    <w:rsid w:val="00EF4520"/>
    <w:rsid w:val="00EF49DE"/>
    <w:rsid w:val="00EF4F8E"/>
    <w:rsid w:val="00EF518D"/>
    <w:rsid w:val="00EF5204"/>
    <w:rsid w:val="00EF5284"/>
    <w:rsid w:val="00EF53A7"/>
    <w:rsid w:val="00EF58A2"/>
    <w:rsid w:val="00EF5AA1"/>
    <w:rsid w:val="00EF5C2D"/>
    <w:rsid w:val="00EF613D"/>
    <w:rsid w:val="00EF621D"/>
    <w:rsid w:val="00EF64D1"/>
    <w:rsid w:val="00EF6713"/>
    <w:rsid w:val="00EF6814"/>
    <w:rsid w:val="00EF6C0A"/>
    <w:rsid w:val="00EF749C"/>
    <w:rsid w:val="00EF7E60"/>
    <w:rsid w:val="00F00708"/>
    <w:rsid w:val="00F00945"/>
    <w:rsid w:val="00F0094F"/>
    <w:rsid w:val="00F00969"/>
    <w:rsid w:val="00F00D67"/>
    <w:rsid w:val="00F01103"/>
    <w:rsid w:val="00F014A3"/>
    <w:rsid w:val="00F0222B"/>
    <w:rsid w:val="00F024EC"/>
    <w:rsid w:val="00F02809"/>
    <w:rsid w:val="00F02861"/>
    <w:rsid w:val="00F02958"/>
    <w:rsid w:val="00F0323D"/>
    <w:rsid w:val="00F034B9"/>
    <w:rsid w:val="00F0357D"/>
    <w:rsid w:val="00F0438E"/>
    <w:rsid w:val="00F044BD"/>
    <w:rsid w:val="00F0469E"/>
    <w:rsid w:val="00F047D8"/>
    <w:rsid w:val="00F04947"/>
    <w:rsid w:val="00F04A48"/>
    <w:rsid w:val="00F04BA0"/>
    <w:rsid w:val="00F04BB2"/>
    <w:rsid w:val="00F04D2A"/>
    <w:rsid w:val="00F04D75"/>
    <w:rsid w:val="00F04D99"/>
    <w:rsid w:val="00F04FC4"/>
    <w:rsid w:val="00F04FE4"/>
    <w:rsid w:val="00F050A6"/>
    <w:rsid w:val="00F054FC"/>
    <w:rsid w:val="00F0550A"/>
    <w:rsid w:val="00F058EE"/>
    <w:rsid w:val="00F0597A"/>
    <w:rsid w:val="00F05C81"/>
    <w:rsid w:val="00F0601F"/>
    <w:rsid w:val="00F065EA"/>
    <w:rsid w:val="00F067C0"/>
    <w:rsid w:val="00F0699E"/>
    <w:rsid w:val="00F06CD0"/>
    <w:rsid w:val="00F0720B"/>
    <w:rsid w:val="00F0745A"/>
    <w:rsid w:val="00F0766D"/>
    <w:rsid w:val="00F077CD"/>
    <w:rsid w:val="00F07844"/>
    <w:rsid w:val="00F07A50"/>
    <w:rsid w:val="00F101E0"/>
    <w:rsid w:val="00F1024E"/>
    <w:rsid w:val="00F10B5B"/>
    <w:rsid w:val="00F112EA"/>
    <w:rsid w:val="00F11913"/>
    <w:rsid w:val="00F11A98"/>
    <w:rsid w:val="00F11BFA"/>
    <w:rsid w:val="00F122EB"/>
    <w:rsid w:val="00F12351"/>
    <w:rsid w:val="00F124B0"/>
    <w:rsid w:val="00F12625"/>
    <w:rsid w:val="00F1294D"/>
    <w:rsid w:val="00F12A17"/>
    <w:rsid w:val="00F12C71"/>
    <w:rsid w:val="00F12E21"/>
    <w:rsid w:val="00F13057"/>
    <w:rsid w:val="00F1320C"/>
    <w:rsid w:val="00F1336A"/>
    <w:rsid w:val="00F13453"/>
    <w:rsid w:val="00F13728"/>
    <w:rsid w:val="00F1383A"/>
    <w:rsid w:val="00F13FB2"/>
    <w:rsid w:val="00F1408B"/>
    <w:rsid w:val="00F142E1"/>
    <w:rsid w:val="00F1462A"/>
    <w:rsid w:val="00F14EDD"/>
    <w:rsid w:val="00F15439"/>
    <w:rsid w:val="00F155C6"/>
    <w:rsid w:val="00F158BA"/>
    <w:rsid w:val="00F15B9C"/>
    <w:rsid w:val="00F1641E"/>
    <w:rsid w:val="00F166A4"/>
    <w:rsid w:val="00F1686F"/>
    <w:rsid w:val="00F16B49"/>
    <w:rsid w:val="00F1720B"/>
    <w:rsid w:val="00F17279"/>
    <w:rsid w:val="00F17499"/>
    <w:rsid w:val="00F174A7"/>
    <w:rsid w:val="00F17668"/>
    <w:rsid w:val="00F17EB9"/>
    <w:rsid w:val="00F20377"/>
    <w:rsid w:val="00F206C4"/>
    <w:rsid w:val="00F208C1"/>
    <w:rsid w:val="00F20D5E"/>
    <w:rsid w:val="00F20FEC"/>
    <w:rsid w:val="00F21001"/>
    <w:rsid w:val="00F21237"/>
    <w:rsid w:val="00F216A5"/>
    <w:rsid w:val="00F218A1"/>
    <w:rsid w:val="00F21A24"/>
    <w:rsid w:val="00F21A80"/>
    <w:rsid w:val="00F21AF8"/>
    <w:rsid w:val="00F21F47"/>
    <w:rsid w:val="00F22167"/>
    <w:rsid w:val="00F22191"/>
    <w:rsid w:val="00F22214"/>
    <w:rsid w:val="00F2243F"/>
    <w:rsid w:val="00F226F6"/>
    <w:rsid w:val="00F22736"/>
    <w:rsid w:val="00F22992"/>
    <w:rsid w:val="00F22DEE"/>
    <w:rsid w:val="00F230DA"/>
    <w:rsid w:val="00F237AB"/>
    <w:rsid w:val="00F242F4"/>
    <w:rsid w:val="00F24595"/>
    <w:rsid w:val="00F24630"/>
    <w:rsid w:val="00F249B7"/>
    <w:rsid w:val="00F24A0D"/>
    <w:rsid w:val="00F24B32"/>
    <w:rsid w:val="00F24BC2"/>
    <w:rsid w:val="00F24BC7"/>
    <w:rsid w:val="00F24FBA"/>
    <w:rsid w:val="00F250C9"/>
    <w:rsid w:val="00F250E8"/>
    <w:rsid w:val="00F25140"/>
    <w:rsid w:val="00F2517D"/>
    <w:rsid w:val="00F252F5"/>
    <w:rsid w:val="00F25654"/>
    <w:rsid w:val="00F25712"/>
    <w:rsid w:val="00F25721"/>
    <w:rsid w:val="00F25881"/>
    <w:rsid w:val="00F259B9"/>
    <w:rsid w:val="00F25A0F"/>
    <w:rsid w:val="00F25A83"/>
    <w:rsid w:val="00F25B52"/>
    <w:rsid w:val="00F25E2B"/>
    <w:rsid w:val="00F25F97"/>
    <w:rsid w:val="00F26223"/>
    <w:rsid w:val="00F26251"/>
    <w:rsid w:val="00F264F3"/>
    <w:rsid w:val="00F26936"/>
    <w:rsid w:val="00F26A1E"/>
    <w:rsid w:val="00F26EBD"/>
    <w:rsid w:val="00F27410"/>
    <w:rsid w:val="00F27DE9"/>
    <w:rsid w:val="00F27E3F"/>
    <w:rsid w:val="00F27EE4"/>
    <w:rsid w:val="00F30198"/>
    <w:rsid w:val="00F302D2"/>
    <w:rsid w:val="00F303CE"/>
    <w:rsid w:val="00F303DC"/>
    <w:rsid w:val="00F30681"/>
    <w:rsid w:val="00F30AE9"/>
    <w:rsid w:val="00F30DD4"/>
    <w:rsid w:val="00F32203"/>
    <w:rsid w:val="00F32611"/>
    <w:rsid w:val="00F326F2"/>
    <w:rsid w:val="00F32A11"/>
    <w:rsid w:val="00F32F4F"/>
    <w:rsid w:val="00F3371A"/>
    <w:rsid w:val="00F3396F"/>
    <w:rsid w:val="00F33C2E"/>
    <w:rsid w:val="00F342BA"/>
    <w:rsid w:val="00F34719"/>
    <w:rsid w:val="00F347CB"/>
    <w:rsid w:val="00F34EAE"/>
    <w:rsid w:val="00F3522E"/>
    <w:rsid w:val="00F355EF"/>
    <w:rsid w:val="00F35857"/>
    <w:rsid w:val="00F35B5F"/>
    <w:rsid w:val="00F35B8F"/>
    <w:rsid w:val="00F363D7"/>
    <w:rsid w:val="00F372EA"/>
    <w:rsid w:val="00F3755D"/>
    <w:rsid w:val="00F37AA9"/>
    <w:rsid w:val="00F37ACC"/>
    <w:rsid w:val="00F37FA2"/>
    <w:rsid w:val="00F409ED"/>
    <w:rsid w:val="00F40B5B"/>
    <w:rsid w:val="00F40B8F"/>
    <w:rsid w:val="00F40E27"/>
    <w:rsid w:val="00F41257"/>
    <w:rsid w:val="00F41375"/>
    <w:rsid w:val="00F41C86"/>
    <w:rsid w:val="00F42410"/>
    <w:rsid w:val="00F427FD"/>
    <w:rsid w:val="00F428F7"/>
    <w:rsid w:val="00F42A4F"/>
    <w:rsid w:val="00F42C82"/>
    <w:rsid w:val="00F43ABC"/>
    <w:rsid w:val="00F43BB4"/>
    <w:rsid w:val="00F44269"/>
    <w:rsid w:val="00F442EE"/>
    <w:rsid w:val="00F446A8"/>
    <w:rsid w:val="00F447B7"/>
    <w:rsid w:val="00F44CD2"/>
    <w:rsid w:val="00F44F3C"/>
    <w:rsid w:val="00F4504B"/>
    <w:rsid w:val="00F45432"/>
    <w:rsid w:val="00F455FF"/>
    <w:rsid w:val="00F4566F"/>
    <w:rsid w:val="00F45834"/>
    <w:rsid w:val="00F461CA"/>
    <w:rsid w:val="00F46357"/>
    <w:rsid w:val="00F465E2"/>
    <w:rsid w:val="00F46AF6"/>
    <w:rsid w:val="00F46B8C"/>
    <w:rsid w:val="00F46CEF"/>
    <w:rsid w:val="00F47307"/>
    <w:rsid w:val="00F478EE"/>
    <w:rsid w:val="00F501FD"/>
    <w:rsid w:val="00F50221"/>
    <w:rsid w:val="00F506E7"/>
    <w:rsid w:val="00F50C92"/>
    <w:rsid w:val="00F50CD5"/>
    <w:rsid w:val="00F50E16"/>
    <w:rsid w:val="00F511AE"/>
    <w:rsid w:val="00F51254"/>
    <w:rsid w:val="00F51542"/>
    <w:rsid w:val="00F51D71"/>
    <w:rsid w:val="00F51EE1"/>
    <w:rsid w:val="00F52234"/>
    <w:rsid w:val="00F52374"/>
    <w:rsid w:val="00F52619"/>
    <w:rsid w:val="00F52632"/>
    <w:rsid w:val="00F5277F"/>
    <w:rsid w:val="00F529FD"/>
    <w:rsid w:val="00F52BA5"/>
    <w:rsid w:val="00F52C8C"/>
    <w:rsid w:val="00F533F4"/>
    <w:rsid w:val="00F53631"/>
    <w:rsid w:val="00F537F6"/>
    <w:rsid w:val="00F53BD0"/>
    <w:rsid w:val="00F53D90"/>
    <w:rsid w:val="00F5408C"/>
    <w:rsid w:val="00F546D1"/>
    <w:rsid w:val="00F54DD3"/>
    <w:rsid w:val="00F54FD7"/>
    <w:rsid w:val="00F5543C"/>
    <w:rsid w:val="00F55A12"/>
    <w:rsid w:val="00F56B1A"/>
    <w:rsid w:val="00F56E05"/>
    <w:rsid w:val="00F56EE7"/>
    <w:rsid w:val="00F5703A"/>
    <w:rsid w:val="00F57E5B"/>
    <w:rsid w:val="00F601B4"/>
    <w:rsid w:val="00F606EC"/>
    <w:rsid w:val="00F61328"/>
    <w:rsid w:val="00F61332"/>
    <w:rsid w:val="00F615D6"/>
    <w:rsid w:val="00F61724"/>
    <w:rsid w:val="00F6190C"/>
    <w:rsid w:val="00F619D8"/>
    <w:rsid w:val="00F61A1D"/>
    <w:rsid w:val="00F61CB6"/>
    <w:rsid w:val="00F62204"/>
    <w:rsid w:val="00F624E5"/>
    <w:rsid w:val="00F62551"/>
    <w:rsid w:val="00F62814"/>
    <w:rsid w:val="00F63062"/>
    <w:rsid w:val="00F63B52"/>
    <w:rsid w:val="00F63ED5"/>
    <w:rsid w:val="00F63F3C"/>
    <w:rsid w:val="00F63FF4"/>
    <w:rsid w:val="00F6404D"/>
    <w:rsid w:val="00F64DDC"/>
    <w:rsid w:val="00F653D4"/>
    <w:rsid w:val="00F6542A"/>
    <w:rsid w:val="00F655FF"/>
    <w:rsid w:val="00F658B6"/>
    <w:rsid w:val="00F65A5D"/>
    <w:rsid w:val="00F65C22"/>
    <w:rsid w:val="00F65C68"/>
    <w:rsid w:val="00F65CD6"/>
    <w:rsid w:val="00F65D07"/>
    <w:rsid w:val="00F6616F"/>
    <w:rsid w:val="00F6624F"/>
    <w:rsid w:val="00F666B0"/>
    <w:rsid w:val="00F66799"/>
    <w:rsid w:val="00F66824"/>
    <w:rsid w:val="00F66ACD"/>
    <w:rsid w:val="00F66AE3"/>
    <w:rsid w:val="00F66BF4"/>
    <w:rsid w:val="00F66E95"/>
    <w:rsid w:val="00F674A5"/>
    <w:rsid w:val="00F67647"/>
    <w:rsid w:val="00F67DE0"/>
    <w:rsid w:val="00F67E48"/>
    <w:rsid w:val="00F67EC4"/>
    <w:rsid w:val="00F700D0"/>
    <w:rsid w:val="00F70633"/>
    <w:rsid w:val="00F708AD"/>
    <w:rsid w:val="00F70AA1"/>
    <w:rsid w:val="00F70B12"/>
    <w:rsid w:val="00F7149B"/>
    <w:rsid w:val="00F71542"/>
    <w:rsid w:val="00F71BDA"/>
    <w:rsid w:val="00F72253"/>
    <w:rsid w:val="00F72D18"/>
    <w:rsid w:val="00F731C4"/>
    <w:rsid w:val="00F731F9"/>
    <w:rsid w:val="00F7365B"/>
    <w:rsid w:val="00F74281"/>
    <w:rsid w:val="00F744B9"/>
    <w:rsid w:val="00F744F1"/>
    <w:rsid w:val="00F75264"/>
    <w:rsid w:val="00F753EB"/>
    <w:rsid w:val="00F7598F"/>
    <w:rsid w:val="00F75B6D"/>
    <w:rsid w:val="00F75CC0"/>
    <w:rsid w:val="00F76B81"/>
    <w:rsid w:val="00F76D22"/>
    <w:rsid w:val="00F771C9"/>
    <w:rsid w:val="00F77325"/>
    <w:rsid w:val="00F775C9"/>
    <w:rsid w:val="00F7784A"/>
    <w:rsid w:val="00F77E25"/>
    <w:rsid w:val="00F77FE2"/>
    <w:rsid w:val="00F80416"/>
    <w:rsid w:val="00F805C8"/>
    <w:rsid w:val="00F80E4A"/>
    <w:rsid w:val="00F80E99"/>
    <w:rsid w:val="00F810B2"/>
    <w:rsid w:val="00F815F5"/>
    <w:rsid w:val="00F8173F"/>
    <w:rsid w:val="00F819DE"/>
    <w:rsid w:val="00F81D4A"/>
    <w:rsid w:val="00F81DA7"/>
    <w:rsid w:val="00F82104"/>
    <w:rsid w:val="00F822ED"/>
    <w:rsid w:val="00F8290A"/>
    <w:rsid w:val="00F82E6D"/>
    <w:rsid w:val="00F83065"/>
    <w:rsid w:val="00F83236"/>
    <w:rsid w:val="00F83717"/>
    <w:rsid w:val="00F83E77"/>
    <w:rsid w:val="00F84003"/>
    <w:rsid w:val="00F8423A"/>
    <w:rsid w:val="00F84E91"/>
    <w:rsid w:val="00F85154"/>
    <w:rsid w:val="00F85677"/>
    <w:rsid w:val="00F8572D"/>
    <w:rsid w:val="00F85735"/>
    <w:rsid w:val="00F8599C"/>
    <w:rsid w:val="00F85B9C"/>
    <w:rsid w:val="00F85E70"/>
    <w:rsid w:val="00F862CE"/>
    <w:rsid w:val="00F864C5"/>
    <w:rsid w:val="00F8651A"/>
    <w:rsid w:val="00F867C3"/>
    <w:rsid w:val="00F86EF5"/>
    <w:rsid w:val="00F8711B"/>
    <w:rsid w:val="00F90AF5"/>
    <w:rsid w:val="00F91006"/>
    <w:rsid w:val="00F91096"/>
    <w:rsid w:val="00F911E9"/>
    <w:rsid w:val="00F91500"/>
    <w:rsid w:val="00F915DE"/>
    <w:rsid w:val="00F917EB"/>
    <w:rsid w:val="00F918F5"/>
    <w:rsid w:val="00F91D47"/>
    <w:rsid w:val="00F91E7B"/>
    <w:rsid w:val="00F9211C"/>
    <w:rsid w:val="00F92219"/>
    <w:rsid w:val="00F92734"/>
    <w:rsid w:val="00F92847"/>
    <w:rsid w:val="00F92BE3"/>
    <w:rsid w:val="00F92DCB"/>
    <w:rsid w:val="00F92EEC"/>
    <w:rsid w:val="00F934BD"/>
    <w:rsid w:val="00F93546"/>
    <w:rsid w:val="00F936A7"/>
    <w:rsid w:val="00F9404E"/>
    <w:rsid w:val="00F9418A"/>
    <w:rsid w:val="00F9478B"/>
    <w:rsid w:val="00F949DD"/>
    <w:rsid w:val="00F94E2F"/>
    <w:rsid w:val="00F950DC"/>
    <w:rsid w:val="00F9511E"/>
    <w:rsid w:val="00F951C3"/>
    <w:rsid w:val="00F955BA"/>
    <w:rsid w:val="00F95981"/>
    <w:rsid w:val="00F95C8A"/>
    <w:rsid w:val="00F95DF1"/>
    <w:rsid w:val="00F95FE8"/>
    <w:rsid w:val="00F96131"/>
    <w:rsid w:val="00F96820"/>
    <w:rsid w:val="00F96B45"/>
    <w:rsid w:val="00F9714A"/>
    <w:rsid w:val="00F97582"/>
    <w:rsid w:val="00F975F3"/>
    <w:rsid w:val="00F97EB9"/>
    <w:rsid w:val="00F97F9D"/>
    <w:rsid w:val="00FA0891"/>
    <w:rsid w:val="00FA0B48"/>
    <w:rsid w:val="00FA0F60"/>
    <w:rsid w:val="00FA10BB"/>
    <w:rsid w:val="00FA180A"/>
    <w:rsid w:val="00FA1B14"/>
    <w:rsid w:val="00FA247C"/>
    <w:rsid w:val="00FA2A70"/>
    <w:rsid w:val="00FA2A76"/>
    <w:rsid w:val="00FA2C53"/>
    <w:rsid w:val="00FA2F96"/>
    <w:rsid w:val="00FA3111"/>
    <w:rsid w:val="00FA31D5"/>
    <w:rsid w:val="00FA33D9"/>
    <w:rsid w:val="00FA34E1"/>
    <w:rsid w:val="00FA3842"/>
    <w:rsid w:val="00FA3A81"/>
    <w:rsid w:val="00FA3ADF"/>
    <w:rsid w:val="00FA4452"/>
    <w:rsid w:val="00FA44AD"/>
    <w:rsid w:val="00FA4744"/>
    <w:rsid w:val="00FA4B6E"/>
    <w:rsid w:val="00FA4F23"/>
    <w:rsid w:val="00FA5183"/>
    <w:rsid w:val="00FA51A0"/>
    <w:rsid w:val="00FA522A"/>
    <w:rsid w:val="00FA5518"/>
    <w:rsid w:val="00FA564E"/>
    <w:rsid w:val="00FA58DF"/>
    <w:rsid w:val="00FA5D09"/>
    <w:rsid w:val="00FA62F6"/>
    <w:rsid w:val="00FA72A4"/>
    <w:rsid w:val="00FA75A4"/>
    <w:rsid w:val="00FA7868"/>
    <w:rsid w:val="00FA7CBF"/>
    <w:rsid w:val="00FB04BF"/>
    <w:rsid w:val="00FB06CB"/>
    <w:rsid w:val="00FB0ABA"/>
    <w:rsid w:val="00FB11A7"/>
    <w:rsid w:val="00FB1265"/>
    <w:rsid w:val="00FB1600"/>
    <w:rsid w:val="00FB1B72"/>
    <w:rsid w:val="00FB1D1A"/>
    <w:rsid w:val="00FB1DCB"/>
    <w:rsid w:val="00FB1DEF"/>
    <w:rsid w:val="00FB1EB1"/>
    <w:rsid w:val="00FB1FE5"/>
    <w:rsid w:val="00FB22C2"/>
    <w:rsid w:val="00FB2330"/>
    <w:rsid w:val="00FB278B"/>
    <w:rsid w:val="00FB27A7"/>
    <w:rsid w:val="00FB2B86"/>
    <w:rsid w:val="00FB2E56"/>
    <w:rsid w:val="00FB34A2"/>
    <w:rsid w:val="00FB3532"/>
    <w:rsid w:val="00FB3774"/>
    <w:rsid w:val="00FB3B7C"/>
    <w:rsid w:val="00FB412B"/>
    <w:rsid w:val="00FB420A"/>
    <w:rsid w:val="00FB473D"/>
    <w:rsid w:val="00FB4895"/>
    <w:rsid w:val="00FB497D"/>
    <w:rsid w:val="00FB4A8A"/>
    <w:rsid w:val="00FB4D4A"/>
    <w:rsid w:val="00FB5168"/>
    <w:rsid w:val="00FB57B3"/>
    <w:rsid w:val="00FB5DB1"/>
    <w:rsid w:val="00FB5ED5"/>
    <w:rsid w:val="00FB5F9A"/>
    <w:rsid w:val="00FB66B5"/>
    <w:rsid w:val="00FB670C"/>
    <w:rsid w:val="00FB678F"/>
    <w:rsid w:val="00FB6CCF"/>
    <w:rsid w:val="00FB6F28"/>
    <w:rsid w:val="00FB6F31"/>
    <w:rsid w:val="00FB6F74"/>
    <w:rsid w:val="00FB7258"/>
    <w:rsid w:val="00FB76B8"/>
    <w:rsid w:val="00FB7BEC"/>
    <w:rsid w:val="00FC0087"/>
    <w:rsid w:val="00FC0724"/>
    <w:rsid w:val="00FC0EA5"/>
    <w:rsid w:val="00FC108A"/>
    <w:rsid w:val="00FC10E9"/>
    <w:rsid w:val="00FC15A1"/>
    <w:rsid w:val="00FC15D6"/>
    <w:rsid w:val="00FC167C"/>
    <w:rsid w:val="00FC1F1B"/>
    <w:rsid w:val="00FC2194"/>
    <w:rsid w:val="00FC22B3"/>
    <w:rsid w:val="00FC22F7"/>
    <w:rsid w:val="00FC23DB"/>
    <w:rsid w:val="00FC2A3F"/>
    <w:rsid w:val="00FC2A9B"/>
    <w:rsid w:val="00FC2DB2"/>
    <w:rsid w:val="00FC30C4"/>
    <w:rsid w:val="00FC33C1"/>
    <w:rsid w:val="00FC34C1"/>
    <w:rsid w:val="00FC35C5"/>
    <w:rsid w:val="00FC3865"/>
    <w:rsid w:val="00FC390E"/>
    <w:rsid w:val="00FC3A6B"/>
    <w:rsid w:val="00FC3ADE"/>
    <w:rsid w:val="00FC3CAF"/>
    <w:rsid w:val="00FC4208"/>
    <w:rsid w:val="00FC4225"/>
    <w:rsid w:val="00FC47A7"/>
    <w:rsid w:val="00FC4B57"/>
    <w:rsid w:val="00FC4DE2"/>
    <w:rsid w:val="00FC5124"/>
    <w:rsid w:val="00FC52E7"/>
    <w:rsid w:val="00FC5C43"/>
    <w:rsid w:val="00FC5D72"/>
    <w:rsid w:val="00FC5E4B"/>
    <w:rsid w:val="00FC5EA9"/>
    <w:rsid w:val="00FC5F9E"/>
    <w:rsid w:val="00FC65DF"/>
    <w:rsid w:val="00FC6681"/>
    <w:rsid w:val="00FC6699"/>
    <w:rsid w:val="00FC669A"/>
    <w:rsid w:val="00FC6B03"/>
    <w:rsid w:val="00FC6B35"/>
    <w:rsid w:val="00FC6C68"/>
    <w:rsid w:val="00FC6D93"/>
    <w:rsid w:val="00FC6DD3"/>
    <w:rsid w:val="00FC70BD"/>
    <w:rsid w:val="00FC716C"/>
    <w:rsid w:val="00FC7404"/>
    <w:rsid w:val="00FC76E0"/>
    <w:rsid w:val="00FC7AE4"/>
    <w:rsid w:val="00FC7D45"/>
    <w:rsid w:val="00FC7EFB"/>
    <w:rsid w:val="00FD0253"/>
    <w:rsid w:val="00FD0CC9"/>
    <w:rsid w:val="00FD0D04"/>
    <w:rsid w:val="00FD0F05"/>
    <w:rsid w:val="00FD114D"/>
    <w:rsid w:val="00FD11EA"/>
    <w:rsid w:val="00FD14BC"/>
    <w:rsid w:val="00FD1590"/>
    <w:rsid w:val="00FD165E"/>
    <w:rsid w:val="00FD1A30"/>
    <w:rsid w:val="00FD1A4B"/>
    <w:rsid w:val="00FD1CFD"/>
    <w:rsid w:val="00FD1FF3"/>
    <w:rsid w:val="00FD2217"/>
    <w:rsid w:val="00FD2B4C"/>
    <w:rsid w:val="00FD2D42"/>
    <w:rsid w:val="00FD2E00"/>
    <w:rsid w:val="00FD2EC2"/>
    <w:rsid w:val="00FD3151"/>
    <w:rsid w:val="00FD318F"/>
    <w:rsid w:val="00FD3296"/>
    <w:rsid w:val="00FD3450"/>
    <w:rsid w:val="00FD35F4"/>
    <w:rsid w:val="00FD366E"/>
    <w:rsid w:val="00FD3AD4"/>
    <w:rsid w:val="00FD3B3F"/>
    <w:rsid w:val="00FD3CE1"/>
    <w:rsid w:val="00FD3DEE"/>
    <w:rsid w:val="00FD429A"/>
    <w:rsid w:val="00FD4691"/>
    <w:rsid w:val="00FD4D8F"/>
    <w:rsid w:val="00FD55CB"/>
    <w:rsid w:val="00FD69E4"/>
    <w:rsid w:val="00FD6A2B"/>
    <w:rsid w:val="00FD6D79"/>
    <w:rsid w:val="00FD6F38"/>
    <w:rsid w:val="00FD7150"/>
    <w:rsid w:val="00FD754E"/>
    <w:rsid w:val="00FD776F"/>
    <w:rsid w:val="00FD78F2"/>
    <w:rsid w:val="00FD7A61"/>
    <w:rsid w:val="00FD7BB9"/>
    <w:rsid w:val="00FE007B"/>
    <w:rsid w:val="00FE05DB"/>
    <w:rsid w:val="00FE06D5"/>
    <w:rsid w:val="00FE0862"/>
    <w:rsid w:val="00FE0A73"/>
    <w:rsid w:val="00FE1056"/>
    <w:rsid w:val="00FE1199"/>
    <w:rsid w:val="00FE1306"/>
    <w:rsid w:val="00FE135F"/>
    <w:rsid w:val="00FE15D6"/>
    <w:rsid w:val="00FE16FC"/>
    <w:rsid w:val="00FE1E0F"/>
    <w:rsid w:val="00FE1FFD"/>
    <w:rsid w:val="00FE2292"/>
    <w:rsid w:val="00FE2B28"/>
    <w:rsid w:val="00FE2C43"/>
    <w:rsid w:val="00FE2E78"/>
    <w:rsid w:val="00FE363A"/>
    <w:rsid w:val="00FE3CA7"/>
    <w:rsid w:val="00FE3D42"/>
    <w:rsid w:val="00FE3E8C"/>
    <w:rsid w:val="00FE42C0"/>
    <w:rsid w:val="00FE4ACA"/>
    <w:rsid w:val="00FE4F59"/>
    <w:rsid w:val="00FE55E5"/>
    <w:rsid w:val="00FE5C14"/>
    <w:rsid w:val="00FE5CE9"/>
    <w:rsid w:val="00FE5DDA"/>
    <w:rsid w:val="00FE5E6D"/>
    <w:rsid w:val="00FE6088"/>
    <w:rsid w:val="00FE6476"/>
    <w:rsid w:val="00FE64AF"/>
    <w:rsid w:val="00FE68A4"/>
    <w:rsid w:val="00FE6A9E"/>
    <w:rsid w:val="00FE6AEC"/>
    <w:rsid w:val="00FE6C5B"/>
    <w:rsid w:val="00FE6E11"/>
    <w:rsid w:val="00FE6E2B"/>
    <w:rsid w:val="00FE6F57"/>
    <w:rsid w:val="00FE73E1"/>
    <w:rsid w:val="00FE74A9"/>
    <w:rsid w:val="00FE7A10"/>
    <w:rsid w:val="00FF0283"/>
    <w:rsid w:val="00FF0539"/>
    <w:rsid w:val="00FF054B"/>
    <w:rsid w:val="00FF05EC"/>
    <w:rsid w:val="00FF0843"/>
    <w:rsid w:val="00FF0F71"/>
    <w:rsid w:val="00FF0F73"/>
    <w:rsid w:val="00FF1187"/>
    <w:rsid w:val="00FF14A3"/>
    <w:rsid w:val="00FF218C"/>
    <w:rsid w:val="00FF22DB"/>
    <w:rsid w:val="00FF27D2"/>
    <w:rsid w:val="00FF2844"/>
    <w:rsid w:val="00FF2A77"/>
    <w:rsid w:val="00FF2DDD"/>
    <w:rsid w:val="00FF3002"/>
    <w:rsid w:val="00FF3048"/>
    <w:rsid w:val="00FF33FB"/>
    <w:rsid w:val="00FF383E"/>
    <w:rsid w:val="00FF39B0"/>
    <w:rsid w:val="00FF3F92"/>
    <w:rsid w:val="00FF48EC"/>
    <w:rsid w:val="00FF5222"/>
    <w:rsid w:val="00FF538D"/>
    <w:rsid w:val="00FF5F19"/>
    <w:rsid w:val="00FF6013"/>
    <w:rsid w:val="00FF62BF"/>
    <w:rsid w:val="00FF64CD"/>
    <w:rsid w:val="00FF69ED"/>
    <w:rsid w:val="00FF6AFF"/>
    <w:rsid w:val="00FF6B56"/>
    <w:rsid w:val="00FF6BCA"/>
    <w:rsid w:val="00FF6E94"/>
    <w:rsid w:val="00FF6EA8"/>
    <w:rsid w:val="00FF731E"/>
    <w:rsid w:val="00FF77A9"/>
    <w:rsid w:val="00FF77F9"/>
    <w:rsid w:val="00FF7C2B"/>
    <w:rsid w:val="00FF7C49"/>
    <w:rsid w:val="624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9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2D"/>
    <w:rPr>
      <w:sz w:val="24"/>
      <w:szCs w:val="24"/>
      <w:lang w:val="en-GB"/>
    </w:rPr>
  </w:style>
  <w:style w:type="paragraph" w:styleId="Naslov1">
    <w:name w:val="heading 1"/>
    <w:basedOn w:val="Navaden"/>
    <w:next w:val="Navaden"/>
    <w:qFormat/>
    <w:rsid w:val="00641D6D"/>
    <w:pPr>
      <w:keepNext/>
      <w:numPr>
        <w:numId w:val="2"/>
      </w:numPr>
      <w:spacing w:before="240" w:after="60"/>
      <w:outlineLvl w:val="0"/>
    </w:pPr>
    <w:rPr>
      <w:rFonts w:ascii="Arial" w:hAnsi="Arial"/>
      <w:b/>
      <w:bCs/>
      <w:kern w:val="32"/>
      <w:sz w:val="32"/>
      <w:szCs w:val="32"/>
    </w:rPr>
  </w:style>
  <w:style w:type="paragraph" w:styleId="Naslov2">
    <w:name w:val="heading 2"/>
    <w:basedOn w:val="Navaden"/>
    <w:next w:val="Navaden"/>
    <w:qFormat/>
    <w:rsid w:val="005257B6"/>
    <w:pPr>
      <w:keepNext/>
      <w:numPr>
        <w:ilvl w:val="1"/>
        <w:numId w:val="2"/>
      </w:numPr>
      <w:spacing w:before="240" w:after="60"/>
      <w:outlineLvl w:val="1"/>
    </w:pPr>
    <w:rPr>
      <w:rFonts w:ascii="Arial" w:hAnsi="Arial"/>
      <w:b/>
      <w:bCs/>
      <w:i/>
      <w:iCs/>
      <w:sz w:val="28"/>
      <w:szCs w:val="28"/>
    </w:rPr>
  </w:style>
  <w:style w:type="paragraph" w:styleId="Naslov3">
    <w:name w:val="heading 3"/>
    <w:basedOn w:val="Navaden"/>
    <w:next w:val="Navaden"/>
    <w:qFormat/>
    <w:rsid w:val="005257B6"/>
    <w:pPr>
      <w:keepNext/>
      <w:numPr>
        <w:ilvl w:val="2"/>
        <w:numId w:val="2"/>
      </w:numPr>
      <w:spacing w:before="240" w:after="60"/>
      <w:outlineLvl w:val="2"/>
    </w:pPr>
    <w:rPr>
      <w:rFonts w:ascii="Arial" w:hAnsi="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AdTitle-headinglevel2">
    <w:name w:val="NeAd Title - heading level 2"/>
    <w:basedOn w:val="Navaden"/>
    <w:rsid w:val="00915EB8"/>
    <w:pPr>
      <w:shd w:val="clear" w:color="auto" w:fill="646464"/>
    </w:pPr>
    <w:rPr>
      <w:rFonts w:ascii="Calibri" w:hAnsi="Calibri" w:cs="Arial"/>
      <w:b/>
      <w:bCs/>
      <w:color w:val="FFFFFF"/>
      <w:sz w:val="32"/>
      <w:szCs w:val="32"/>
    </w:rPr>
  </w:style>
  <w:style w:type="paragraph" w:customStyle="1" w:styleId="NeAdTitleHeading">
    <w:name w:val="NeAd Title Heading"/>
    <w:basedOn w:val="Navaden"/>
    <w:autoRedefine/>
    <w:rsid w:val="004845DC"/>
    <w:pPr>
      <w:spacing w:after="240"/>
      <w:ind w:right="387"/>
    </w:pPr>
    <w:rPr>
      <w:rFonts w:ascii="Calibri" w:hAnsi="Calibri" w:cs="Arial"/>
      <w:b/>
      <w:bCs/>
      <w:color w:val="FFFFFF"/>
      <w:sz w:val="72"/>
      <w:szCs w:val="64"/>
    </w:rPr>
  </w:style>
  <w:style w:type="paragraph" w:customStyle="1" w:styleId="NeAdbullet-level1">
    <w:name w:val="NeAd bullet - level 1"/>
    <w:basedOn w:val="NeAdbody-level1"/>
    <w:rsid w:val="0040754E"/>
    <w:pPr>
      <w:numPr>
        <w:numId w:val="3"/>
      </w:numPr>
    </w:pPr>
  </w:style>
  <w:style w:type="paragraph" w:customStyle="1" w:styleId="NeAdbullet-level2">
    <w:name w:val="NeAd bullet - level 2"/>
    <w:basedOn w:val="NeAdbullet-level1"/>
    <w:rsid w:val="0040754E"/>
    <w:pPr>
      <w:numPr>
        <w:ilvl w:val="1"/>
        <w:numId w:val="4"/>
      </w:numPr>
    </w:pPr>
  </w:style>
  <w:style w:type="paragraph" w:customStyle="1" w:styleId="NeAdTitle-date">
    <w:name w:val="NeAd Title - date"/>
    <w:basedOn w:val="Navaden"/>
    <w:link w:val="NeAdTitle-dateChar"/>
    <w:rsid w:val="00EA6521"/>
    <w:rPr>
      <w:rFonts w:ascii="Calibri" w:hAnsi="Calibri"/>
      <w:b/>
      <w:bCs/>
      <w:sz w:val="32"/>
      <w:szCs w:val="32"/>
    </w:rPr>
  </w:style>
  <w:style w:type="paragraph" w:customStyle="1" w:styleId="NeAdbody-level1">
    <w:name w:val="NeAd body - level 1"/>
    <w:basedOn w:val="Navaden"/>
    <w:rsid w:val="0040754E"/>
    <w:pPr>
      <w:spacing w:before="240" w:after="240"/>
      <w:jc w:val="both"/>
    </w:pPr>
    <w:rPr>
      <w:rFonts w:ascii="Calibri" w:hAnsi="Calibri" w:cs="Arial"/>
      <w:sz w:val="22"/>
      <w:szCs w:val="22"/>
    </w:rPr>
  </w:style>
  <w:style w:type="paragraph" w:customStyle="1" w:styleId="NeAdbody-level2">
    <w:name w:val="NeAd body - level 2"/>
    <w:basedOn w:val="Navaden"/>
    <w:rsid w:val="0040754E"/>
    <w:pPr>
      <w:spacing w:before="240" w:after="240"/>
      <w:ind w:left="567"/>
      <w:jc w:val="both"/>
    </w:pPr>
    <w:rPr>
      <w:rFonts w:ascii="Calibri" w:hAnsi="Calibri" w:cs="Arial"/>
      <w:sz w:val="22"/>
      <w:szCs w:val="22"/>
    </w:rPr>
  </w:style>
  <w:style w:type="paragraph" w:customStyle="1" w:styleId="NeAdbody-level3">
    <w:name w:val="NeAd body - level 3"/>
    <w:basedOn w:val="Navaden"/>
    <w:rsid w:val="0040754E"/>
    <w:pPr>
      <w:spacing w:before="240" w:after="240"/>
      <w:ind w:left="1134"/>
      <w:jc w:val="both"/>
    </w:pPr>
    <w:rPr>
      <w:rFonts w:ascii="Calibri" w:hAnsi="Calibri" w:cs="Arial"/>
      <w:sz w:val="22"/>
      <w:szCs w:val="22"/>
    </w:rPr>
  </w:style>
  <w:style w:type="paragraph" w:customStyle="1" w:styleId="NeAdbody-level4">
    <w:name w:val="NeAd body - level 4"/>
    <w:basedOn w:val="Navaden"/>
    <w:rsid w:val="0040754E"/>
    <w:pPr>
      <w:spacing w:before="240" w:after="240"/>
      <w:ind w:left="1701"/>
      <w:jc w:val="both"/>
    </w:pPr>
    <w:rPr>
      <w:rFonts w:ascii="Calibri" w:hAnsi="Calibri" w:cs="Arial"/>
      <w:sz w:val="22"/>
      <w:szCs w:val="22"/>
    </w:rPr>
  </w:style>
  <w:style w:type="paragraph" w:customStyle="1" w:styleId="NeAdH1">
    <w:name w:val="NeAd H1"/>
    <w:basedOn w:val="Navaden"/>
    <w:rsid w:val="00F96B45"/>
    <w:pPr>
      <w:pageBreakBefore/>
      <w:numPr>
        <w:numId w:val="1"/>
      </w:numPr>
      <w:pBdr>
        <w:bottom w:val="single" w:sz="8" w:space="1" w:color="C7A33C"/>
      </w:pBdr>
      <w:spacing w:before="360" w:after="240"/>
      <w:outlineLvl w:val="0"/>
    </w:pPr>
    <w:rPr>
      <w:rFonts w:ascii="Calibri" w:hAnsi="Calibri" w:cs="Arial"/>
      <w:b/>
      <w:bCs/>
      <w:color w:val="00417D"/>
      <w:sz w:val="32"/>
      <w:szCs w:val="32"/>
    </w:rPr>
  </w:style>
  <w:style w:type="paragraph" w:customStyle="1" w:styleId="NeAdH2">
    <w:name w:val="NeAd H2"/>
    <w:basedOn w:val="NeAdH3"/>
    <w:rsid w:val="00956B00"/>
    <w:pPr>
      <w:numPr>
        <w:ilvl w:val="1"/>
      </w:numPr>
      <w:outlineLvl w:val="1"/>
    </w:pPr>
    <w:rPr>
      <w:sz w:val="28"/>
      <w:szCs w:val="28"/>
    </w:rPr>
  </w:style>
  <w:style w:type="paragraph" w:customStyle="1" w:styleId="NeAdH3">
    <w:name w:val="NeAd H3"/>
    <w:basedOn w:val="Navaden"/>
    <w:rsid w:val="00956B00"/>
    <w:pPr>
      <w:numPr>
        <w:ilvl w:val="2"/>
        <w:numId w:val="1"/>
      </w:numPr>
      <w:spacing w:before="360" w:after="240"/>
      <w:outlineLvl w:val="2"/>
    </w:pPr>
    <w:rPr>
      <w:rFonts w:ascii="Calibri" w:hAnsi="Calibri" w:cs="Arial"/>
      <w:b/>
      <w:bCs/>
      <w:color w:val="00417D"/>
    </w:rPr>
  </w:style>
  <w:style w:type="paragraph" w:customStyle="1" w:styleId="NeAdsectionsubtitle">
    <w:name w:val="NeAd section subtitle"/>
    <w:basedOn w:val="NeAdH2"/>
    <w:rsid w:val="00864BBB"/>
    <w:pPr>
      <w:numPr>
        <w:ilvl w:val="0"/>
        <w:numId w:val="0"/>
      </w:numPr>
      <w:shd w:val="clear" w:color="auto" w:fill="EEE3C4"/>
      <w:outlineLvl w:val="9"/>
    </w:pPr>
  </w:style>
  <w:style w:type="paragraph" w:customStyle="1" w:styleId="NeAdTitle-authors">
    <w:name w:val="NeAd Title - authors"/>
    <w:basedOn w:val="Navaden"/>
    <w:autoRedefine/>
    <w:rsid w:val="00363C3A"/>
    <w:rPr>
      <w:rFonts w:ascii="Calibri" w:hAnsi="Calibri" w:cs="Arial"/>
      <w:b/>
      <w:bCs/>
    </w:rPr>
  </w:style>
  <w:style w:type="paragraph" w:customStyle="1" w:styleId="NeAdbullet3">
    <w:name w:val="NeAd bullet 3"/>
    <w:basedOn w:val="NeAdbullet-level2"/>
    <w:rsid w:val="0040754E"/>
    <w:pPr>
      <w:numPr>
        <w:ilvl w:val="2"/>
        <w:numId w:val="5"/>
      </w:numPr>
    </w:pPr>
  </w:style>
  <w:style w:type="paragraph" w:customStyle="1" w:styleId="NeAdnumber-level1">
    <w:name w:val="NeAd number - level 1"/>
    <w:basedOn w:val="NeAdbody-level1"/>
    <w:rsid w:val="00182848"/>
    <w:pPr>
      <w:numPr>
        <w:numId w:val="6"/>
      </w:numPr>
    </w:pPr>
  </w:style>
  <w:style w:type="paragraph" w:customStyle="1" w:styleId="NeAdnumber-level2">
    <w:name w:val="NeAd number - level 2"/>
    <w:basedOn w:val="NeAdbody-level1"/>
    <w:rsid w:val="00182848"/>
    <w:pPr>
      <w:numPr>
        <w:ilvl w:val="1"/>
        <w:numId w:val="6"/>
      </w:numPr>
    </w:pPr>
  </w:style>
  <w:style w:type="paragraph" w:customStyle="1" w:styleId="NeAdnumber-level3">
    <w:name w:val="NeAd number - level 3"/>
    <w:basedOn w:val="NeAdbody-level1"/>
    <w:rsid w:val="00182848"/>
    <w:pPr>
      <w:numPr>
        <w:ilvl w:val="2"/>
        <w:numId w:val="6"/>
      </w:numPr>
    </w:pPr>
  </w:style>
  <w:style w:type="paragraph" w:customStyle="1" w:styleId="NeAdnumber-level4">
    <w:name w:val="NeAd number - level 4"/>
    <w:basedOn w:val="NeAdbody-level1"/>
    <w:rsid w:val="00A0167B"/>
    <w:pPr>
      <w:numPr>
        <w:ilvl w:val="3"/>
        <w:numId w:val="6"/>
      </w:numPr>
    </w:pPr>
  </w:style>
  <w:style w:type="paragraph" w:customStyle="1" w:styleId="NeAdfootnote">
    <w:name w:val="NeAd footnote"/>
    <w:basedOn w:val="NeAdbody-level1"/>
    <w:autoRedefine/>
    <w:rsid w:val="00915EB8"/>
    <w:rPr>
      <w:i/>
      <w:iCs/>
      <w:sz w:val="18"/>
      <w:szCs w:val="18"/>
    </w:rPr>
  </w:style>
  <w:style w:type="paragraph" w:customStyle="1" w:styleId="NeAdExhibitHeading">
    <w:name w:val="NeAd Exhibit Heading"/>
    <w:basedOn w:val="NeAdH3"/>
    <w:autoRedefine/>
    <w:rsid w:val="00A9578F"/>
    <w:pPr>
      <w:keepNext/>
      <w:numPr>
        <w:ilvl w:val="0"/>
        <w:numId w:val="0"/>
      </w:numPr>
      <w:spacing w:before="120" w:after="120"/>
      <w:outlineLvl w:val="4"/>
    </w:pPr>
    <w:rPr>
      <w:color w:val="FFFFFF"/>
    </w:rPr>
  </w:style>
  <w:style w:type="paragraph" w:customStyle="1" w:styleId="NeAdexhibittabletext">
    <w:name w:val="NeAd exhibit table text"/>
    <w:basedOn w:val="NeAdbody-level1"/>
    <w:autoRedefine/>
    <w:rsid w:val="00915EB8"/>
    <w:pPr>
      <w:jc w:val="left"/>
    </w:pPr>
  </w:style>
  <w:style w:type="paragraph" w:styleId="Glava">
    <w:name w:val="header"/>
    <w:basedOn w:val="Navaden"/>
    <w:semiHidden/>
    <w:rsid w:val="00BF53D4"/>
    <w:pPr>
      <w:tabs>
        <w:tab w:val="center" w:pos="4320"/>
        <w:tab w:val="right" w:pos="8640"/>
      </w:tabs>
    </w:pPr>
  </w:style>
  <w:style w:type="paragraph" w:styleId="Noga">
    <w:name w:val="footer"/>
    <w:basedOn w:val="Navaden"/>
    <w:semiHidden/>
    <w:rsid w:val="00BF53D4"/>
    <w:pPr>
      <w:tabs>
        <w:tab w:val="center" w:pos="4320"/>
        <w:tab w:val="right" w:pos="8640"/>
      </w:tabs>
    </w:pPr>
  </w:style>
  <w:style w:type="paragraph" w:customStyle="1" w:styleId="NeAdexhibitfootnote">
    <w:name w:val="NeAd exhibit footnote"/>
    <w:basedOn w:val="Navaden"/>
    <w:autoRedefine/>
    <w:rsid w:val="00D4614F"/>
    <w:pPr>
      <w:spacing w:before="60" w:after="120"/>
      <w:ind w:left="-1540"/>
      <w:jc w:val="both"/>
    </w:pPr>
    <w:rPr>
      <w:rFonts w:ascii="Palatino Linotype" w:hAnsi="Palatino Linotype" w:cs="Arial"/>
      <w:i/>
      <w:iCs/>
      <w:sz w:val="18"/>
      <w:szCs w:val="18"/>
    </w:rPr>
  </w:style>
  <w:style w:type="paragraph" w:customStyle="1" w:styleId="NeAdtabletext">
    <w:name w:val="NeAd table text"/>
    <w:basedOn w:val="NeAdbody-level1"/>
    <w:autoRedefine/>
    <w:rsid w:val="00227B2F"/>
    <w:pPr>
      <w:spacing w:before="60" w:after="60"/>
    </w:pPr>
    <w:rPr>
      <w:b/>
      <w:sz w:val="20"/>
      <w:szCs w:val="20"/>
      <w:u w:val="single"/>
    </w:rPr>
  </w:style>
  <w:style w:type="paragraph" w:customStyle="1" w:styleId="NeAdtableheading">
    <w:name w:val="NeAd table heading"/>
    <w:basedOn w:val="Navaden"/>
    <w:autoRedefine/>
    <w:rsid w:val="00182848"/>
    <w:pPr>
      <w:pBdr>
        <w:bottom w:val="single" w:sz="8" w:space="1" w:color="C7A33C"/>
      </w:pBdr>
      <w:tabs>
        <w:tab w:val="left" w:pos="1701"/>
      </w:tabs>
      <w:spacing w:before="120" w:after="120"/>
      <w:jc w:val="center"/>
    </w:pPr>
    <w:rPr>
      <w:rFonts w:ascii="Calibri" w:hAnsi="Calibri" w:cs="Arial"/>
      <w:b/>
      <w:bCs/>
      <w:color w:val="00417D"/>
      <w:sz w:val="20"/>
      <w:szCs w:val="20"/>
    </w:rPr>
  </w:style>
  <w:style w:type="paragraph" w:styleId="Besedilooblaka">
    <w:name w:val="Balloon Text"/>
    <w:basedOn w:val="Navaden"/>
    <w:semiHidden/>
    <w:rsid w:val="00B215C8"/>
    <w:rPr>
      <w:rFonts w:ascii="Tahoma" w:hAnsi="Tahoma"/>
      <w:sz w:val="16"/>
      <w:szCs w:val="16"/>
    </w:rPr>
  </w:style>
  <w:style w:type="paragraph" w:customStyle="1" w:styleId="NeAdLogo">
    <w:name w:val="NeAd Logo"/>
    <w:basedOn w:val="Navaden"/>
    <w:rsid w:val="009E7DD7"/>
    <w:pPr>
      <w:spacing w:after="240"/>
    </w:pPr>
    <w:rPr>
      <w:rFonts w:ascii="Calibri" w:hAnsi="Calibri"/>
    </w:rPr>
  </w:style>
  <w:style w:type="paragraph" w:customStyle="1" w:styleId="NeAdHeaderFooter">
    <w:name w:val="NeAd Header/Footer"/>
    <w:basedOn w:val="Navaden"/>
    <w:rsid w:val="00E416DD"/>
    <w:pPr>
      <w:tabs>
        <w:tab w:val="right" w:pos="10773"/>
      </w:tabs>
      <w:ind w:right="1477"/>
    </w:pPr>
    <w:rPr>
      <w:rFonts w:ascii="Palatino Linotype" w:hAnsi="Palatino Linotype"/>
      <w:b/>
      <w:bCs/>
    </w:rPr>
  </w:style>
  <w:style w:type="paragraph" w:customStyle="1" w:styleId="NeAdH1-nonumber">
    <w:name w:val="NeAd H1 - no number"/>
    <w:basedOn w:val="NeAdH1"/>
    <w:rsid w:val="00C62A57"/>
    <w:pPr>
      <w:numPr>
        <w:numId w:val="0"/>
      </w:numPr>
    </w:pPr>
  </w:style>
  <w:style w:type="character" w:customStyle="1" w:styleId="NeAdTitle-dateChar">
    <w:name w:val="NeAd Title - date Char"/>
    <w:link w:val="NeAdTitle-date"/>
    <w:rsid w:val="00EA6521"/>
    <w:rPr>
      <w:rFonts w:ascii="Calibri" w:hAnsi="Calibri"/>
      <w:b/>
      <w:bCs/>
      <w:sz w:val="32"/>
      <w:szCs w:val="32"/>
      <w:lang w:val="en-US" w:eastAsia="en-US" w:bidi="ar-SA"/>
    </w:rPr>
  </w:style>
  <w:style w:type="paragraph" w:styleId="NaslovTOC">
    <w:name w:val="TOC Heading"/>
    <w:basedOn w:val="Naslov1"/>
    <w:next w:val="Navaden"/>
    <w:uiPriority w:val="39"/>
    <w:unhideWhenUsed/>
    <w:qFormat/>
    <w:rsid w:val="00540C1A"/>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customStyle="1" w:styleId="NeAdH42">
    <w:name w:val="NeAd H4 2"/>
    <w:basedOn w:val="Navaden"/>
    <w:rsid w:val="00956B00"/>
    <w:pPr>
      <w:numPr>
        <w:ilvl w:val="3"/>
        <w:numId w:val="1"/>
      </w:numPr>
      <w:spacing w:before="360" w:after="240"/>
      <w:outlineLvl w:val="3"/>
    </w:pPr>
    <w:rPr>
      <w:rFonts w:ascii="Calibri" w:hAnsi="Calibri" w:cs="Arial"/>
      <w:b/>
      <w:bCs/>
      <w:i/>
      <w:iCs/>
      <w:color w:val="00417D"/>
    </w:rPr>
  </w:style>
  <w:style w:type="paragraph" w:styleId="Kazalovsebine1">
    <w:name w:val="toc 1"/>
    <w:basedOn w:val="Navaden"/>
    <w:next w:val="Navaden"/>
    <w:autoRedefine/>
    <w:uiPriority w:val="39"/>
    <w:rsid w:val="006A3D7A"/>
    <w:pPr>
      <w:tabs>
        <w:tab w:val="left" w:pos="480"/>
        <w:tab w:val="right" w:leader="dot" w:pos="8495"/>
      </w:tabs>
      <w:spacing w:after="100"/>
    </w:pPr>
    <w:rPr>
      <w:rFonts w:asciiTheme="minorHAnsi" w:hAnsiTheme="minorHAnsi"/>
      <w:sz w:val="22"/>
    </w:rPr>
  </w:style>
  <w:style w:type="paragraph" w:styleId="Kazalovsebine2">
    <w:name w:val="toc 2"/>
    <w:basedOn w:val="Navaden"/>
    <w:next w:val="Navaden"/>
    <w:autoRedefine/>
    <w:uiPriority w:val="39"/>
    <w:rsid w:val="006A3D7A"/>
    <w:pPr>
      <w:tabs>
        <w:tab w:val="left" w:pos="660"/>
        <w:tab w:val="right" w:leader="dot" w:pos="8495"/>
      </w:tabs>
      <w:spacing w:after="100"/>
      <w:ind w:left="240"/>
    </w:pPr>
    <w:rPr>
      <w:rFonts w:asciiTheme="minorHAnsi" w:hAnsiTheme="minorHAnsi"/>
      <w:sz w:val="22"/>
    </w:rPr>
  </w:style>
  <w:style w:type="paragraph" w:styleId="Kazalovsebine3">
    <w:name w:val="toc 3"/>
    <w:basedOn w:val="Navaden"/>
    <w:next w:val="Navaden"/>
    <w:autoRedefine/>
    <w:uiPriority w:val="39"/>
    <w:rsid w:val="00EC1AD7"/>
    <w:pPr>
      <w:spacing w:after="100"/>
      <w:ind w:left="480"/>
    </w:pPr>
    <w:rPr>
      <w:rFonts w:asciiTheme="minorHAnsi" w:hAnsiTheme="minorHAnsi"/>
      <w:sz w:val="22"/>
    </w:rPr>
  </w:style>
  <w:style w:type="character" w:styleId="Hiperpovezava">
    <w:name w:val="Hyperlink"/>
    <w:basedOn w:val="Privzetapisavaodstavka"/>
    <w:uiPriority w:val="99"/>
    <w:unhideWhenUsed/>
    <w:rsid w:val="00540C1A"/>
    <w:rPr>
      <w:color w:val="0563C1" w:themeColor="hyperlink"/>
      <w:u w:val="single"/>
    </w:rPr>
  </w:style>
  <w:style w:type="paragraph" w:styleId="Odstavekseznama">
    <w:name w:val="List Paragraph"/>
    <w:aliases w:val="K1"/>
    <w:basedOn w:val="Navaden"/>
    <w:link w:val="OdstavekseznamaZnak"/>
    <w:uiPriority w:val="34"/>
    <w:qFormat/>
    <w:rsid w:val="00762355"/>
    <w:pPr>
      <w:ind w:left="720"/>
      <w:contextualSpacing/>
    </w:pPr>
    <w:rPr>
      <w:lang w:val="en-US"/>
    </w:rPr>
  </w:style>
  <w:style w:type="character" w:customStyle="1" w:styleId="OdstavekseznamaZnak">
    <w:name w:val="Odstavek seznama Znak"/>
    <w:aliases w:val="K1 Znak"/>
    <w:link w:val="Odstavekseznama"/>
    <w:uiPriority w:val="34"/>
    <w:locked/>
    <w:rsid w:val="00F35B5F"/>
    <w:rPr>
      <w:sz w:val="24"/>
      <w:szCs w:val="24"/>
    </w:rPr>
  </w:style>
  <w:style w:type="character" w:styleId="Sprotnaopomba-sklic">
    <w:name w:val="footnote reference"/>
    <w:basedOn w:val="Privzetapisavaodstavka"/>
    <w:uiPriority w:val="99"/>
    <w:unhideWhenUsed/>
    <w:rsid w:val="0001563E"/>
    <w:rPr>
      <w:vertAlign w:val="superscript"/>
    </w:rPr>
  </w:style>
  <w:style w:type="paragraph" w:styleId="Sprotnaopomba-besedilo">
    <w:name w:val="footnote text"/>
    <w:basedOn w:val="Navaden"/>
    <w:link w:val="Sprotnaopomba-besediloZnak"/>
    <w:unhideWhenUsed/>
    <w:rsid w:val="00FC108A"/>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rsid w:val="00FC108A"/>
    <w:rPr>
      <w:rFonts w:asciiTheme="minorHAnsi" w:eastAsiaTheme="minorHAnsi" w:hAnsiTheme="minorHAnsi" w:cstheme="minorBidi"/>
      <w:lang w:val="en-GB"/>
    </w:rPr>
  </w:style>
  <w:style w:type="character" w:customStyle="1" w:styleId="UnresolvedMention1">
    <w:name w:val="Unresolved Mention1"/>
    <w:basedOn w:val="Privzetapisavaodstavka"/>
    <w:uiPriority w:val="99"/>
    <w:semiHidden/>
    <w:unhideWhenUsed/>
    <w:rsid w:val="00562995"/>
    <w:rPr>
      <w:color w:val="808080"/>
      <w:shd w:val="clear" w:color="auto" w:fill="E6E6E6"/>
    </w:rPr>
  </w:style>
  <w:style w:type="character" w:styleId="Pripombasklic">
    <w:name w:val="annotation reference"/>
    <w:basedOn w:val="Privzetapisavaodstavka"/>
    <w:rsid w:val="00603057"/>
    <w:rPr>
      <w:sz w:val="16"/>
      <w:szCs w:val="16"/>
    </w:rPr>
  </w:style>
  <w:style w:type="paragraph" w:styleId="Pripombabesedilo">
    <w:name w:val="annotation text"/>
    <w:basedOn w:val="Navaden"/>
    <w:link w:val="PripombabesediloZnak"/>
    <w:rsid w:val="00603057"/>
    <w:rPr>
      <w:sz w:val="20"/>
      <w:szCs w:val="20"/>
    </w:rPr>
  </w:style>
  <w:style w:type="character" w:customStyle="1" w:styleId="PripombabesediloZnak">
    <w:name w:val="Pripomba – besedilo Znak"/>
    <w:basedOn w:val="Privzetapisavaodstavka"/>
    <w:link w:val="Pripombabesedilo"/>
    <w:rsid w:val="00603057"/>
    <w:rPr>
      <w:lang w:val="en-GB"/>
    </w:rPr>
  </w:style>
  <w:style w:type="paragraph" w:styleId="Zadevapripombe">
    <w:name w:val="annotation subject"/>
    <w:basedOn w:val="Pripombabesedilo"/>
    <w:next w:val="Pripombabesedilo"/>
    <w:link w:val="ZadevapripombeZnak"/>
    <w:rsid w:val="00603057"/>
    <w:rPr>
      <w:b/>
      <w:bCs/>
    </w:rPr>
  </w:style>
  <w:style w:type="character" w:customStyle="1" w:styleId="ZadevapripombeZnak">
    <w:name w:val="Zadeva pripombe Znak"/>
    <w:basedOn w:val="PripombabesediloZnak"/>
    <w:link w:val="Zadevapripombe"/>
    <w:rsid w:val="00603057"/>
    <w:rPr>
      <w:b/>
      <w:bCs/>
      <w:lang w:val="en-GB"/>
    </w:rPr>
  </w:style>
  <w:style w:type="paragraph" w:styleId="Golobesedilo">
    <w:name w:val="Plain Text"/>
    <w:basedOn w:val="Navaden"/>
    <w:link w:val="GolobesediloZnak"/>
    <w:uiPriority w:val="99"/>
    <w:unhideWhenUsed/>
    <w:rsid w:val="004F4A66"/>
    <w:rPr>
      <w:rFonts w:ascii="Calibri" w:eastAsiaTheme="minorHAnsi" w:hAnsi="Calibri" w:cstheme="minorBidi"/>
      <w:sz w:val="22"/>
      <w:szCs w:val="21"/>
      <w:lang w:val="en-US"/>
    </w:rPr>
  </w:style>
  <w:style w:type="character" w:customStyle="1" w:styleId="GolobesediloZnak">
    <w:name w:val="Golo besedilo Znak"/>
    <w:basedOn w:val="Privzetapisavaodstavka"/>
    <w:link w:val="Golobesedilo"/>
    <w:uiPriority w:val="99"/>
    <w:rsid w:val="004F4A66"/>
    <w:rPr>
      <w:rFonts w:ascii="Calibri" w:eastAsiaTheme="minorHAnsi" w:hAnsi="Calibri" w:cstheme="minorBidi"/>
      <w:sz w:val="22"/>
      <w:szCs w:val="21"/>
    </w:rPr>
  </w:style>
  <w:style w:type="table" w:styleId="Tabelamrea">
    <w:name w:val="Table Grid"/>
    <w:basedOn w:val="Navadnatabela"/>
    <w:rsid w:val="0004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2E4E"/>
    <w:rPr>
      <w:sz w:val="24"/>
      <w:szCs w:val="24"/>
      <w:lang w:val="en-GB"/>
    </w:rPr>
  </w:style>
  <w:style w:type="character" w:customStyle="1" w:styleId="UnresolvedMention10">
    <w:name w:val="Unresolved Mention1"/>
    <w:basedOn w:val="Privzetapisavaodstavka"/>
    <w:uiPriority w:val="99"/>
    <w:semiHidden/>
    <w:unhideWhenUsed/>
    <w:rsid w:val="00EA28A0"/>
    <w:rPr>
      <w:color w:val="808080"/>
      <w:shd w:val="clear" w:color="auto" w:fill="E6E6E6"/>
    </w:rPr>
  </w:style>
  <w:style w:type="character" w:styleId="SledenaHiperpovezava">
    <w:name w:val="FollowedHyperlink"/>
    <w:basedOn w:val="Privzetapisavaodstavka"/>
    <w:rsid w:val="005207F0"/>
    <w:rPr>
      <w:color w:val="954F72" w:themeColor="followedHyperlink"/>
      <w:u w:val="single"/>
    </w:rPr>
  </w:style>
  <w:style w:type="character" w:customStyle="1" w:styleId="UnresolvedMention2">
    <w:name w:val="Unresolved Mention2"/>
    <w:basedOn w:val="Privzetapisavaodstavka"/>
    <w:uiPriority w:val="99"/>
    <w:semiHidden/>
    <w:unhideWhenUsed/>
    <w:rsid w:val="00827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240">
      <w:bodyDiv w:val="1"/>
      <w:marLeft w:val="0"/>
      <w:marRight w:val="0"/>
      <w:marTop w:val="0"/>
      <w:marBottom w:val="0"/>
      <w:divBdr>
        <w:top w:val="none" w:sz="0" w:space="0" w:color="auto"/>
        <w:left w:val="none" w:sz="0" w:space="0" w:color="auto"/>
        <w:bottom w:val="none" w:sz="0" w:space="0" w:color="auto"/>
        <w:right w:val="none" w:sz="0" w:space="0" w:color="auto"/>
      </w:divBdr>
      <w:divsChild>
        <w:div w:id="164707651">
          <w:marLeft w:val="0"/>
          <w:marRight w:val="0"/>
          <w:marTop w:val="0"/>
          <w:marBottom w:val="0"/>
          <w:divBdr>
            <w:top w:val="none" w:sz="0" w:space="0" w:color="auto"/>
            <w:left w:val="none" w:sz="0" w:space="0" w:color="auto"/>
            <w:bottom w:val="none" w:sz="0" w:space="0" w:color="auto"/>
            <w:right w:val="none" w:sz="0" w:space="0" w:color="auto"/>
          </w:divBdr>
        </w:div>
        <w:div w:id="559488192">
          <w:marLeft w:val="0"/>
          <w:marRight w:val="0"/>
          <w:marTop w:val="0"/>
          <w:marBottom w:val="0"/>
          <w:divBdr>
            <w:top w:val="none" w:sz="0" w:space="0" w:color="auto"/>
            <w:left w:val="none" w:sz="0" w:space="0" w:color="auto"/>
            <w:bottom w:val="none" w:sz="0" w:space="0" w:color="auto"/>
            <w:right w:val="none" w:sz="0" w:space="0" w:color="auto"/>
          </w:divBdr>
        </w:div>
        <w:div w:id="1262951806">
          <w:marLeft w:val="0"/>
          <w:marRight w:val="0"/>
          <w:marTop w:val="0"/>
          <w:marBottom w:val="0"/>
          <w:divBdr>
            <w:top w:val="none" w:sz="0" w:space="0" w:color="auto"/>
            <w:left w:val="none" w:sz="0" w:space="0" w:color="auto"/>
            <w:bottom w:val="none" w:sz="0" w:space="0" w:color="auto"/>
            <w:right w:val="none" w:sz="0" w:space="0" w:color="auto"/>
          </w:divBdr>
        </w:div>
        <w:div w:id="1403874369">
          <w:marLeft w:val="0"/>
          <w:marRight w:val="0"/>
          <w:marTop w:val="0"/>
          <w:marBottom w:val="0"/>
          <w:divBdr>
            <w:top w:val="none" w:sz="0" w:space="0" w:color="auto"/>
            <w:left w:val="none" w:sz="0" w:space="0" w:color="auto"/>
            <w:bottom w:val="none" w:sz="0" w:space="0" w:color="auto"/>
            <w:right w:val="none" w:sz="0" w:space="0" w:color="auto"/>
          </w:divBdr>
        </w:div>
      </w:divsChild>
    </w:div>
    <w:div w:id="197158250">
      <w:bodyDiv w:val="1"/>
      <w:marLeft w:val="0"/>
      <w:marRight w:val="0"/>
      <w:marTop w:val="0"/>
      <w:marBottom w:val="0"/>
      <w:divBdr>
        <w:top w:val="none" w:sz="0" w:space="0" w:color="auto"/>
        <w:left w:val="none" w:sz="0" w:space="0" w:color="auto"/>
        <w:bottom w:val="none" w:sz="0" w:space="0" w:color="auto"/>
        <w:right w:val="none" w:sz="0" w:space="0" w:color="auto"/>
      </w:divBdr>
    </w:div>
    <w:div w:id="374306857">
      <w:bodyDiv w:val="1"/>
      <w:marLeft w:val="0"/>
      <w:marRight w:val="0"/>
      <w:marTop w:val="0"/>
      <w:marBottom w:val="0"/>
      <w:divBdr>
        <w:top w:val="none" w:sz="0" w:space="0" w:color="auto"/>
        <w:left w:val="none" w:sz="0" w:space="0" w:color="auto"/>
        <w:bottom w:val="none" w:sz="0" w:space="0" w:color="auto"/>
        <w:right w:val="none" w:sz="0" w:space="0" w:color="auto"/>
      </w:divBdr>
    </w:div>
    <w:div w:id="410464951">
      <w:bodyDiv w:val="1"/>
      <w:marLeft w:val="0"/>
      <w:marRight w:val="0"/>
      <w:marTop w:val="0"/>
      <w:marBottom w:val="0"/>
      <w:divBdr>
        <w:top w:val="none" w:sz="0" w:space="0" w:color="auto"/>
        <w:left w:val="none" w:sz="0" w:space="0" w:color="auto"/>
        <w:bottom w:val="none" w:sz="0" w:space="0" w:color="auto"/>
        <w:right w:val="none" w:sz="0" w:space="0" w:color="auto"/>
      </w:divBdr>
    </w:div>
    <w:div w:id="464662318">
      <w:bodyDiv w:val="1"/>
      <w:marLeft w:val="0"/>
      <w:marRight w:val="0"/>
      <w:marTop w:val="0"/>
      <w:marBottom w:val="0"/>
      <w:divBdr>
        <w:top w:val="none" w:sz="0" w:space="0" w:color="auto"/>
        <w:left w:val="none" w:sz="0" w:space="0" w:color="auto"/>
        <w:bottom w:val="none" w:sz="0" w:space="0" w:color="auto"/>
        <w:right w:val="none" w:sz="0" w:space="0" w:color="auto"/>
      </w:divBdr>
      <w:divsChild>
        <w:div w:id="516231764">
          <w:marLeft w:val="576"/>
          <w:marRight w:val="0"/>
          <w:marTop w:val="192"/>
          <w:marBottom w:val="192"/>
          <w:divBdr>
            <w:top w:val="none" w:sz="0" w:space="0" w:color="auto"/>
            <w:left w:val="none" w:sz="0" w:space="0" w:color="auto"/>
            <w:bottom w:val="none" w:sz="0" w:space="0" w:color="auto"/>
            <w:right w:val="none" w:sz="0" w:space="0" w:color="auto"/>
          </w:divBdr>
        </w:div>
      </w:divsChild>
    </w:div>
    <w:div w:id="591671205">
      <w:bodyDiv w:val="1"/>
      <w:marLeft w:val="0"/>
      <w:marRight w:val="0"/>
      <w:marTop w:val="0"/>
      <w:marBottom w:val="0"/>
      <w:divBdr>
        <w:top w:val="none" w:sz="0" w:space="0" w:color="auto"/>
        <w:left w:val="none" w:sz="0" w:space="0" w:color="auto"/>
        <w:bottom w:val="none" w:sz="0" w:space="0" w:color="auto"/>
        <w:right w:val="none" w:sz="0" w:space="0" w:color="auto"/>
      </w:divBdr>
      <w:divsChild>
        <w:div w:id="1409377395">
          <w:marLeft w:val="576"/>
          <w:marRight w:val="0"/>
          <w:marTop w:val="192"/>
          <w:marBottom w:val="192"/>
          <w:divBdr>
            <w:top w:val="none" w:sz="0" w:space="0" w:color="auto"/>
            <w:left w:val="none" w:sz="0" w:space="0" w:color="auto"/>
            <w:bottom w:val="none" w:sz="0" w:space="0" w:color="auto"/>
            <w:right w:val="none" w:sz="0" w:space="0" w:color="auto"/>
          </w:divBdr>
        </w:div>
      </w:divsChild>
    </w:div>
    <w:div w:id="737241989">
      <w:bodyDiv w:val="1"/>
      <w:marLeft w:val="0"/>
      <w:marRight w:val="0"/>
      <w:marTop w:val="0"/>
      <w:marBottom w:val="0"/>
      <w:divBdr>
        <w:top w:val="none" w:sz="0" w:space="0" w:color="auto"/>
        <w:left w:val="none" w:sz="0" w:space="0" w:color="auto"/>
        <w:bottom w:val="none" w:sz="0" w:space="0" w:color="auto"/>
        <w:right w:val="none" w:sz="0" w:space="0" w:color="auto"/>
      </w:divBdr>
      <w:divsChild>
        <w:div w:id="602811129">
          <w:marLeft w:val="446"/>
          <w:marRight w:val="0"/>
          <w:marTop w:val="0"/>
          <w:marBottom w:val="0"/>
          <w:divBdr>
            <w:top w:val="none" w:sz="0" w:space="0" w:color="auto"/>
            <w:left w:val="none" w:sz="0" w:space="0" w:color="auto"/>
            <w:bottom w:val="none" w:sz="0" w:space="0" w:color="auto"/>
            <w:right w:val="none" w:sz="0" w:space="0" w:color="auto"/>
          </w:divBdr>
        </w:div>
        <w:div w:id="731931855">
          <w:marLeft w:val="446"/>
          <w:marRight w:val="0"/>
          <w:marTop w:val="0"/>
          <w:marBottom w:val="0"/>
          <w:divBdr>
            <w:top w:val="none" w:sz="0" w:space="0" w:color="auto"/>
            <w:left w:val="none" w:sz="0" w:space="0" w:color="auto"/>
            <w:bottom w:val="none" w:sz="0" w:space="0" w:color="auto"/>
            <w:right w:val="none" w:sz="0" w:space="0" w:color="auto"/>
          </w:divBdr>
        </w:div>
        <w:div w:id="1582519941">
          <w:marLeft w:val="446"/>
          <w:marRight w:val="0"/>
          <w:marTop w:val="0"/>
          <w:marBottom w:val="0"/>
          <w:divBdr>
            <w:top w:val="none" w:sz="0" w:space="0" w:color="auto"/>
            <w:left w:val="none" w:sz="0" w:space="0" w:color="auto"/>
            <w:bottom w:val="none" w:sz="0" w:space="0" w:color="auto"/>
            <w:right w:val="none" w:sz="0" w:space="0" w:color="auto"/>
          </w:divBdr>
        </w:div>
        <w:div w:id="1193110386">
          <w:marLeft w:val="274"/>
          <w:marRight w:val="0"/>
          <w:marTop w:val="0"/>
          <w:marBottom w:val="0"/>
          <w:divBdr>
            <w:top w:val="none" w:sz="0" w:space="0" w:color="auto"/>
            <w:left w:val="none" w:sz="0" w:space="0" w:color="auto"/>
            <w:bottom w:val="none" w:sz="0" w:space="0" w:color="auto"/>
            <w:right w:val="none" w:sz="0" w:space="0" w:color="auto"/>
          </w:divBdr>
        </w:div>
        <w:div w:id="215941355">
          <w:marLeft w:val="274"/>
          <w:marRight w:val="0"/>
          <w:marTop w:val="0"/>
          <w:marBottom w:val="0"/>
          <w:divBdr>
            <w:top w:val="none" w:sz="0" w:space="0" w:color="auto"/>
            <w:left w:val="none" w:sz="0" w:space="0" w:color="auto"/>
            <w:bottom w:val="none" w:sz="0" w:space="0" w:color="auto"/>
            <w:right w:val="none" w:sz="0" w:space="0" w:color="auto"/>
          </w:divBdr>
        </w:div>
        <w:div w:id="281308905">
          <w:marLeft w:val="274"/>
          <w:marRight w:val="0"/>
          <w:marTop w:val="0"/>
          <w:marBottom w:val="0"/>
          <w:divBdr>
            <w:top w:val="none" w:sz="0" w:space="0" w:color="auto"/>
            <w:left w:val="none" w:sz="0" w:space="0" w:color="auto"/>
            <w:bottom w:val="none" w:sz="0" w:space="0" w:color="auto"/>
            <w:right w:val="none" w:sz="0" w:space="0" w:color="auto"/>
          </w:divBdr>
        </w:div>
        <w:div w:id="1988777059">
          <w:marLeft w:val="274"/>
          <w:marRight w:val="0"/>
          <w:marTop w:val="0"/>
          <w:marBottom w:val="0"/>
          <w:divBdr>
            <w:top w:val="none" w:sz="0" w:space="0" w:color="auto"/>
            <w:left w:val="none" w:sz="0" w:space="0" w:color="auto"/>
            <w:bottom w:val="none" w:sz="0" w:space="0" w:color="auto"/>
            <w:right w:val="none" w:sz="0" w:space="0" w:color="auto"/>
          </w:divBdr>
        </w:div>
        <w:div w:id="363872028">
          <w:marLeft w:val="274"/>
          <w:marRight w:val="0"/>
          <w:marTop w:val="0"/>
          <w:marBottom w:val="0"/>
          <w:divBdr>
            <w:top w:val="none" w:sz="0" w:space="0" w:color="auto"/>
            <w:left w:val="none" w:sz="0" w:space="0" w:color="auto"/>
            <w:bottom w:val="none" w:sz="0" w:space="0" w:color="auto"/>
            <w:right w:val="none" w:sz="0" w:space="0" w:color="auto"/>
          </w:divBdr>
        </w:div>
        <w:div w:id="1926987118">
          <w:marLeft w:val="274"/>
          <w:marRight w:val="0"/>
          <w:marTop w:val="0"/>
          <w:marBottom w:val="0"/>
          <w:divBdr>
            <w:top w:val="none" w:sz="0" w:space="0" w:color="auto"/>
            <w:left w:val="none" w:sz="0" w:space="0" w:color="auto"/>
            <w:bottom w:val="none" w:sz="0" w:space="0" w:color="auto"/>
            <w:right w:val="none" w:sz="0" w:space="0" w:color="auto"/>
          </w:divBdr>
        </w:div>
        <w:div w:id="752047726">
          <w:marLeft w:val="274"/>
          <w:marRight w:val="0"/>
          <w:marTop w:val="0"/>
          <w:marBottom w:val="0"/>
          <w:divBdr>
            <w:top w:val="none" w:sz="0" w:space="0" w:color="auto"/>
            <w:left w:val="none" w:sz="0" w:space="0" w:color="auto"/>
            <w:bottom w:val="none" w:sz="0" w:space="0" w:color="auto"/>
            <w:right w:val="none" w:sz="0" w:space="0" w:color="auto"/>
          </w:divBdr>
        </w:div>
        <w:div w:id="1581864216">
          <w:marLeft w:val="274"/>
          <w:marRight w:val="0"/>
          <w:marTop w:val="0"/>
          <w:marBottom w:val="0"/>
          <w:divBdr>
            <w:top w:val="none" w:sz="0" w:space="0" w:color="auto"/>
            <w:left w:val="none" w:sz="0" w:space="0" w:color="auto"/>
            <w:bottom w:val="none" w:sz="0" w:space="0" w:color="auto"/>
            <w:right w:val="none" w:sz="0" w:space="0" w:color="auto"/>
          </w:divBdr>
        </w:div>
        <w:div w:id="1747650597">
          <w:marLeft w:val="274"/>
          <w:marRight w:val="0"/>
          <w:marTop w:val="0"/>
          <w:marBottom w:val="0"/>
          <w:divBdr>
            <w:top w:val="none" w:sz="0" w:space="0" w:color="auto"/>
            <w:left w:val="none" w:sz="0" w:space="0" w:color="auto"/>
            <w:bottom w:val="none" w:sz="0" w:space="0" w:color="auto"/>
            <w:right w:val="none" w:sz="0" w:space="0" w:color="auto"/>
          </w:divBdr>
        </w:div>
        <w:div w:id="541212939">
          <w:marLeft w:val="274"/>
          <w:marRight w:val="0"/>
          <w:marTop w:val="0"/>
          <w:marBottom w:val="0"/>
          <w:divBdr>
            <w:top w:val="none" w:sz="0" w:space="0" w:color="auto"/>
            <w:left w:val="none" w:sz="0" w:space="0" w:color="auto"/>
            <w:bottom w:val="none" w:sz="0" w:space="0" w:color="auto"/>
            <w:right w:val="none" w:sz="0" w:space="0" w:color="auto"/>
          </w:divBdr>
        </w:div>
        <w:div w:id="1354186157">
          <w:marLeft w:val="274"/>
          <w:marRight w:val="0"/>
          <w:marTop w:val="0"/>
          <w:marBottom w:val="0"/>
          <w:divBdr>
            <w:top w:val="none" w:sz="0" w:space="0" w:color="auto"/>
            <w:left w:val="none" w:sz="0" w:space="0" w:color="auto"/>
            <w:bottom w:val="none" w:sz="0" w:space="0" w:color="auto"/>
            <w:right w:val="none" w:sz="0" w:space="0" w:color="auto"/>
          </w:divBdr>
        </w:div>
        <w:div w:id="866530706">
          <w:marLeft w:val="274"/>
          <w:marRight w:val="0"/>
          <w:marTop w:val="0"/>
          <w:marBottom w:val="0"/>
          <w:divBdr>
            <w:top w:val="none" w:sz="0" w:space="0" w:color="auto"/>
            <w:left w:val="none" w:sz="0" w:space="0" w:color="auto"/>
            <w:bottom w:val="none" w:sz="0" w:space="0" w:color="auto"/>
            <w:right w:val="none" w:sz="0" w:space="0" w:color="auto"/>
          </w:divBdr>
        </w:div>
        <w:div w:id="1724670787">
          <w:marLeft w:val="274"/>
          <w:marRight w:val="0"/>
          <w:marTop w:val="0"/>
          <w:marBottom w:val="0"/>
          <w:divBdr>
            <w:top w:val="none" w:sz="0" w:space="0" w:color="auto"/>
            <w:left w:val="none" w:sz="0" w:space="0" w:color="auto"/>
            <w:bottom w:val="none" w:sz="0" w:space="0" w:color="auto"/>
            <w:right w:val="none" w:sz="0" w:space="0" w:color="auto"/>
          </w:divBdr>
        </w:div>
        <w:div w:id="2065710891">
          <w:marLeft w:val="274"/>
          <w:marRight w:val="0"/>
          <w:marTop w:val="0"/>
          <w:marBottom w:val="0"/>
          <w:divBdr>
            <w:top w:val="none" w:sz="0" w:space="0" w:color="auto"/>
            <w:left w:val="none" w:sz="0" w:space="0" w:color="auto"/>
            <w:bottom w:val="none" w:sz="0" w:space="0" w:color="auto"/>
            <w:right w:val="none" w:sz="0" w:space="0" w:color="auto"/>
          </w:divBdr>
        </w:div>
        <w:div w:id="2043167116">
          <w:marLeft w:val="274"/>
          <w:marRight w:val="0"/>
          <w:marTop w:val="0"/>
          <w:marBottom w:val="0"/>
          <w:divBdr>
            <w:top w:val="none" w:sz="0" w:space="0" w:color="auto"/>
            <w:left w:val="none" w:sz="0" w:space="0" w:color="auto"/>
            <w:bottom w:val="none" w:sz="0" w:space="0" w:color="auto"/>
            <w:right w:val="none" w:sz="0" w:space="0" w:color="auto"/>
          </w:divBdr>
        </w:div>
      </w:divsChild>
    </w:div>
    <w:div w:id="1577083100">
      <w:bodyDiv w:val="1"/>
      <w:marLeft w:val="0"/>
      <w:marRight w:val="0"/>
      <w:marTop w:val="0"/>
      <w:marBottom w:val="0"/>
      <w:divBdr>
        <w:top w:val="none" w:sz="0" w:space="0" w:color="auto"/>
        <w:left w:val="none" w:sz="0" w:space="0" w:color="auto"/>
        <w:bottom w:val="none" w:sz="0" w:space="0" w:color="auto"/>
        <w:right w:val="none" w:sz="0" w:space="0" w:color="auto"/>
      </w:divBdr>
      <w:divsChild>
        <w:div w:id="240139500">
          <w:marLeft w:val="0"/>
          <w:marRight w:val="0"/>
          <w:marTop w:val="0"/>
          <w:marBottom w:val="0"/>
          <w:divBdr>
            <w:top w:val="none" w:sz="0" w:space="0" w:color="auto"/>
            <w:left w:val="none" w:sz="0" w:space="0" w:color="auto"/>
            <w:bottom w:val="none" w:sz="0" w:space="0" w:color="auto"/>
            <w:right w:val="none" w:sz="0" w:space="0" w:color="auto"/>
          </w:divBdr>
        </w:div>
        <w:div w:id="883642092">
          <w:marLeft w:val="0"/>
          <w:marRight w:val="0"/>
          <w:marTop w:val="0"/>
          <w:marBottom w:val="0"/>
          <w:divBdr>
            <w:top w:val="none" w:sz="0" w:space="0" w:color="auto"/>
            <w:left w:val="none" w:sz="0" w:space="0" w:color="auto"/>
            <w:bottom w:val="none" w:sz="0" w:space="0" w:color="auto"/>
            <w:right w:val="none" w:sz="0" w:space="0" w:color="auto"/>
          </w:divBdr>
        </w:div>
        <w:div w:id="897134594">
          <w:marLeft w:val="0"/>
          <w:marRight w:val="0"/>
          <w:marTop w:val="0"/>
          <w:marBottom w:val="0"/>
          <w:divBdr>
            <w:top w:val="none" w:sz="0" w:space="0" w:color="auto"/>
            <w:left w:val="none" w:sz="0" w:space="0" w:color="auto"/>
            <w:bottom w:val="none" w:sz="0" w:space="0" w:color="auto"/>
            <w:right w:val="none" w:sz="0" w:space="0" w:color="auto"/>
          </w:divBdr>
        </w:div>
        <w:div w:id="1562642358">
          <w:marLeft w:val="0"/>
          <w:marRight w:val="0"/>
          <w:marTop w:val="0"/>
          <w:marBottom w:val="0"/>
          <w:divBdr>
            <w:top w:val="none" w:sz="0" w:space="0" w:color="auto"/>
            <w:left w:val="none" w:sz="0" w:space="0" w:color="auto"/>
            <w:bottom w:val="none" w:sz="0" w:space="0" w:color="auto"/>
            <w:right w:val="none" w:sz="0" w:space="0" w:color="auto"/>
          </w:divBdr>
        </w:div>
        <w:div w:id="1570769270">
          <w:marLeft w:val="0"/>
          <w:marRight w:val="0"/>
          <w:marTop w:val="0"/>
          <w:marBottom w:val="0"/>
          <w:divBdr>
            <w:top w:val="none" w:sz="0" w:space="0" w:color="auto"/>
            <w:left w:val="none" w:sz="0" w:space="0" w:color="auto"/>
            <w:bottom w:val="none" w:sz="0" w:space="0" w:color="auto"/>
            <w:right w:val="none" w:sz="0" w:space="0" w:color="auto"/>
          </w:divBdr>
        </w:div>
      </w:divsChild>
    </w:div>
    <w:div w:id="1836871696">
      <w:bodyDiv w:val="1"/>
      <w:marLeft w:val="0"/>
      <w:marRight w:val="0"/>
      <w:marTop w:val="0"/>
      <w:marBottom w:val="0"/>
      <w:divBdr>
        <w:top w:val="none" w:sz="0" w:space="0" w:color="auto"/>
        <w:left w:val="none" w:sz="0" w:space="0" w:color="auto"/>
        <w:bottom w:val="none" w:sz="0" w:space="0" w:color="auto"/>
        <w:right w:val="none" w:sz="0" w:space="0" w:color="auto"/>
      </w:divBdr>
      <w:divsChild>
        <w:div w:id="319579926">
          <w:marLeft w:val="576"/>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33DE8D568C34AB738CABBF92F5743" ma:contentTypeVersion="4" ma:contentTypeDescription="Create a new document." ma:contentTypeScope="" ma:versionID="a64989b46202b4fd7b099035ce0ea94e">
  <xsd:schema xmlns:xsd="http://www.w3.org/2001/XMLSchema" xmlns:xs="http://www.w3.org/2001/XMLSchema" xmlns:p="http://schemas.microsoft.com/office/2006/metadata/properties" xmlns:ns2="9ebd1464-4977-45c5-9c90-92fd8902d74e" xmlns:ns3="7d605572-8e06-44f1-b65a-9ee6dbc2397d" targetNamespace="http://schemas.microsoft.com/office/2006/metadata/properties" ma:root="true" ma:fieldsID="88bd595ff7ee2bb5fd50c8c9501058ee" ns2:_="" ns3:_="">
    <xsd:import namespace="9ebd1464-4977-45c5-9c90-92fd8902d74e"/>
    <xsd:import namespace="7d605572-8e06-44f1-b65a-9ee6dbc23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1464-4977-45c5-9c90-92fd8902d7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05572-8e06-44f1-b65a-9ee6dbc23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A433DE8D568C34AB738CABBF92F5743" ma:contentTypeVersion="4" ma:contentTypeDescription="Create a new document." ma:contentTypeScope="" ma:versionID="a64989b46202b4fd7b099035ce0ea94e">
  <xsd:schema xmlns:xsd="http://www.w3.org/2001/XMLSchema" xmlns:xs="http://www.w3.org/2001/XMLSchema" xmlns:p="http://schemas.microsoft.com/office/2006/metadata/properties" xmlns:ns2="9ebd1464-4977-45c5-9c90-92fd8902d74e" xmlns:ns3="7d605572-8e06-44f1-b65a-9ee6dbc2397d" targetNamespace="http://schemas.microsoft.com/office/2006/metadata/properties" ma:root="true" ma:fieldsID="88bd595ff7ee2bb5fd50c8c9501058ee" ns2:_="" ns3:_="">
    <xsd:import namespace="9ebd1464-4977-45c5-9c90-92fd8902d74e"/>
    <xsd:import namespace="7d605572-8e06-44f1-b65a-9ee6dbc23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1464-4977-45c5-9c90-92fd8902d7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05572-8e06-44f1-b65a-9ee6dbc23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A433DE8D568C34AB738CABBF92F5743" ma:contentTypeVersion="4" ma:contentTypeDescription="Create a new document." ma:contentTypeScope="" ma:versionID="a64989b46202b4fd7b099035ce0ea94e">
  <xsd:schema xmlns:xsd="http://www.w3.org/2001/XMLSchema" xmlns:xs="http://www.w3.org/2001/XMLSchema" xmlns:p="http://schemas.microsoft.com/office/2006/metadata/properties" xmlns:ns2="9ebd1464-4977-45c5-9c90-92fd8902d74e" xmlns:ns3="7d605572-8e06-44f1-b65a-9ee6dbc2397d" targetNamespace="http://schemas.microsoft.com/office/2006/metadata/properties" ma:root="true" ma:fieldsID="88bd595ff7ee2bb5fd50c8c9501058ee" ns2:_="" ns3:_="">
    <xsd:import namespace="9ebd1464-4977-45c5-9c90-92fd8902d74e"/>
    <xsd:import namespace="7d605572-8e06-44f1-b65a-9ee6dbc23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1464-4977-45c5-9c90-92fd8902d7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05572-8e06-44f1-b65a-9ee6dbc23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67E6-8281-4272-AA91-E77F6433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1464-4977-45c5-9c90-92fd8902d74e"/>
    <ds:schemaRef ds:uri="7d605572-8e06-44f1-b65a-9ee6dbc2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EFA46-9AEA-45AF-BC22-D80FB1F7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1464-4977-45c5-9c90-92fd8902d74e"/>
    <ds:schemaRef ds:uri="7d605572-8e06-44f1-b65a-9ee6dbc2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132D1-3FD6-4535-955B-859F39A4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1464-4977-45c5-9c90-92fd8902d74e"/>
    <ds:schemaRef ds:uri="7d605572-8e06-44f1-b65a-9ee6dbc2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91862-FEE5-4A52-8618-15AE7027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9722</Words>
  <Characters>55419</Characters>
  <Application>Microsoft Office Word</Application>
  <DocSecurity>0</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ban</dc:creator>
  <cp:lastModifiedBy/>
  <cp:revision>1</cp:revision>
  <dcterms:created xsi:type="dcterms:W3CDTF">2018-06-22T09:15:00Z</dcterms:created>
  <dcterms:modified xsi:type="dcterms:W3CDTF">2018-06-22T09:15:00Z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0x010100BA433DE8D568C34AB738CABBF92F5743</vt:lpwstr>
  </property>
  <property fmtid="{D5CDD505-2E9C-101B-9397-08002B2CF9AE}" pid="3" name="_DocHome">
    <vt:i4>-1299278760</vt:i4>
  </property>
</Properties>
</file>