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A" w:rsidRPr="008E2CAB" w:rsidRDefault="006E0F3A" w:rsidP="006E0F3A">
      <w:pPr>
        <w:pStyle w:val="Odstavekseznama"/>
        <w:numPr>
          <w:ilvl w:val="0"/>
          <w:numId w:val="195"/>
        </w:numPr>
        <w:ind w:left="284" w:hanging="284"/>
        <w:rPr>
          <w:szCs w:val="24"/>
        </w:rPr>
      </w:pPr>
      <w:r w:rsidRPr="008E2CAB">
        <w:rPr>
          <w:szCs w:val="24"/>
          <w:lang w:val="en-GB"/>
        </w:rPr>
        <w:t xml:space="preserve">Official Gazette of the Republic of Slovenia, No. </w:t>
      </w:r>
      <w:r>
        <w:rPr>
          <w:szCs w:val="24"/>
          <w:lang w:val="en-GB"/>
        </w:rPr>
        <w:t>68</w:t>
      </w:r>
      <w:r w:rsidRPr="008E2CAB">
        <w:rPr>
          <w:szCs w:val="24"/>
          <w:lang w:val="en-GB"/>
        </w:rPr>
        <w:t xml:space="preserve">/17 of </w:t>
      </w:r>
      <w:r>
        <w:rPr>
          <w:szCs w:val="24"/>
          <w:lang w:val="en-GB"/>
        </w:rPr>
        <w:t>1</w:t>
      </w:r>
      <w:r w:rsidRPr="008E2CAB">
        <w:rPr>
          <w:szCs w:val="24"/>
          <w:lang w:val="en-GB"/>
        </w:rPr>
        <w:t xml:space="preserve"> </w:t>
      </w:r>
      <w:r>
        <w:rPr>
          <w:szCs w:val="24"/>
          <w:lang w:val="en-GB"/>
        </w:rPr>
        <w:t>December 2017 (in force as of 2</w:t>
      </w:r>
      <w:r w:rsidRPr="008E2CAB">
        <w:rPr>
          <w:szCs w:val="24"/>
          <w:lang w:val="en-GB"/>
        </w:rPr>
        <w:t xml:space="preserve"> </w:t>
      </w:r>
      <w:r>
        <w:rPr>
          <w:szCs w:val="24"/>
          <w:lang w:val="en-GB"/>
        </w:rPr>
        <w:t>December 2017</w:t>
      </w:r>
      <w:r w:rsidRPr="008E2CAB">
        <w:rPr>
          <w:szCs w:val="24"/>
          <w:lang w:val="en-GB"/>
        </w:rPr>
        <w:t>)</w:t>
      </w:r>
    </w:p>
    <w:p w:rsidR="006E0F3A" w:rsidRDefault="006E0F3A" w:rsidP="006E0F3A">
      <w:pPr>
        <w:pBdr>
          <w:bottom w:val="single" w:sz="4" w:space="1" w:color="auto"/>
        </w:pBdr>
        <w:rPr>
          <w:szCs w:val="24"/>
        </w:rPr>
      </w:pPr>
    </w:p>
    <w:p w:rsidR="00B75A20" w:rsidRDefault="00B75A20" w:rsidP="00E541F9">
      <w:pPr>
        <w:autoSpaceDE w:val="0"/>
        <w:autoSpaceDN w:val="0"/>
        <w:adjustRightInd w:val="0"/>
      </w:pPr>
      <w:proofErr w:type="gramStart"/>
      <w:r>
        <w:rPr>
          <w:lang w:val="en-GB"/>
        </w:rPr>
        <w:t>Pursuant to point 3 of the first paragraph of Article 93 and point 1 of Article 135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roofErr w:type="gramEnd"/>
    </w:p>
    <w:p w:rsidR="00A44DEA" w:rsidRPr="00A2457F" w:rsidRDefault="00A44DEA">
      <w:pPr>
        <w:autoSpaceDE w:val="0"/>
        <w:autoSpaceDN w:val="0"/>
        <w:adjustRightInd w:val="0"/>
        <w:jc w:val="center"/>
        <w:rPr>
          <w:b/>
          <w:szCs w:val="22"/>
        </w:rPr>
      </w:pPr>
    </w:p>
    <w:p w:rsidR="00A44DEA" w:rsidRPr="00A2457F" w:rsidRDefault="00A44DEA">
      <w:pPr>
        <w:autoSpaceDE w:val="0"/>
        <w:autoSpaceDN w:val="0"/>
        <w:adjustRightInd w:val="0"/>
        <w:jc w:val="center"/>
        <w:rPr>
          <w:b/>
          <w:szCs w:val="22"/>
        </w:rPr>
      </w:pPr>
    </w:p>
    <w:p w:rsidR="00B75A20" w:rsidRPr="00231EFD" w:rsidRDefault="00B75A20">
      <w:pPr>
        <w:autoSpaceDE w:val="0"/>
        <w:autoSpaceDN w:val="0"/>
        <w:adjustRightInd w:val="0"/>
        <w:jc w:val="center"/>
        <w:rPr>
          <w:b/>
          <w:szCs w:val="22"/>
        </w:rPr>
      </w:pPr>
      <w:r>
        <w:rPr>
          <w:b/>
          <w:bCs/>
          <w:szCs w:val="22"/>
          <w:lang w:val="en-GB"/>
        </w:rPr>
        <w:t>R E G U L A T I O N</w:t>
      </w:r>
    </w:p>
    <w:p w:rsidR="00B75A20" w:rsidRPr="00231EFD" w:rsidRDefault="00B75A20">
      <w:pPr>
        <w:autoSpaceDE w:val="0"/>
        <w:autoSpaceDN w:val="0"/>
        <w:adjustRightInd w:val="0"/>
        <w:jc w:val="center"/>
        <w:rPr>
          <w:b/>
          <w:szCs w:val="22"/>
        </w:rPr>
      </w:pPr>
    </w:p>
    <w:p w:rsidR="00B75A20" w:rsidRPr="00231EFD" w:rsidRDefault="00A2457F">
      <w:pPr>
        <w:autoSpaceDE w:val="0"/>
        <w:autoSpaceDN w:val="0"/>
        <w:adjustRightInd w:val="0"/>
        <w:jc w:val="center"/>
        <w:rPr>
          <w:b/>
          <w:szCs w:val="22"/>
        </w:rPr>
      </w:pPr>
      <w:r>
        <w:rPr>
          <w:b/>
          <w:bCs/>
          <w:szCs w:val="22"/>
          <w:lang w:val="en-GB"/>
        </w:rPr>
        <w:t>on credit risk management at banks and savings banks</w:t>
      </w:r>
    </w:p>
    <w:p w:rsidR="00B75A20" w:rsidRDefault="00B75A20">
      <w:pPr>
        <w:autoSpaceDE w:val="0"/>
        <w:autoSpaceDN w:val="0"/>
        <w:adjustRightInd w:val="0"/>
        <w:rPr>
          <w:b/>
        </w:rPr>
      </w:pPr>
    </w:p>
    <w:p w:rsidR="00B75A20" w:rsidRDefault="00B75A20">
      <w:pPr>
        <w:autoSpaceDE w:val="0"/>
        <w:autoSpaceDN w:val="0"/>
        <w:adjustRightInd w:val="0"/>
        <w:rPr>
          <w:b/>
        </w:rPr>
      </w:pPr>
    </w:p>
    <w:p w:rsidR="00B75A20" w:rsidRPr="0017515A" w:rsidRDefault="00EB0457" w:rsidP="00571F95">
      <w:pPr>
        <w:pStyle w:val="Naslov1"/>
        <w:numPr>
          <w:ilvl w:val="0"/>
          <w:numId w:val="1"/>
        </w:numPr>
        <w:tabs>
          <w:tab w:val="num" w:pos="432"/>
        </w:tabs>
        <w:autoSpaceDE/>
        <w:autoSpaceDN/>
        <w:adjustRightInd/>
        <w:ind w:left="432" w:hanging="432"/>
        <w:jc w:val="center"/>
        <w:rPr>
          <w:rFonts w:ascii="Times New Roman" w:hAnsi="Times New Roman" w:cs="Arial"/>
          <w:i w:val="0"/>
          <w:caps/>
          <w:kern w:val="32"/>
          <w:szCs w:val="22"/>
        </w:rPr>
      </w:pPr>
      <w:r>
        <w:rPr>
          <w:rFonts w:ascii="Times New Roman" w:hAnsi="Times New Roman" w:cs="Arial"/>
          <w:bCs/>
          <w:i w:val="0"/>
          <w:caps/>
          <w:kern w:val="32"/>
          <w:szCs w:val="22"/>
          <w:lang w:val="en-GB"/>
        </w:rPr>
        <w:t>GENERAL PROVISIONS</w:t>
      </w:r>
    </w:p>
    <w:p w:rsidR="00C371D8" w:rsidRPr="0017515A" w:rsidRDefault="00C371D8" w:rsidP="00C371D8">
      <w:pPr>
        <w:autoSpaceDE w:val="0"/>
        <w:autoSpaceDN w:val="0"/>
        <w:adjustRightInd w:val="0"/>
        <w:jc w:val="center"/>
      </w:pPr>
    </w:p>
    <w:p w:rsidR="00ED25CB" w:rsidRPr="0017515A" w:rsidRDefault="00ED25CB" w:rsidP="004D0C7B">
      <w:pPr>
        <w:jc w:val="center"/>
        <w:rPr>
          <w:bCs/>
          <w:szCs w:val="22"/>
        </w:rPr>
      </w:pPr>
      <w:r>
        <w:rPr>
          <w:szCs w:val="22"/>
          <w:lang w:val="en-GB"/>
        </w:rPr>
        <w:t>Article 1</w:t>
      </w:r>
    </w:p>
    <w:p w:rsidR="00EB0457" w:rsidRPr="0017515A" w:rsidRDefault="00ED25CB" w:rsidP="00ED25CB">
      <w:pPr>
        <w:autoSpaceDE w:val="0"/>
        <w:autoSpaceDN w:val="0"/>
        <w:adjustRightInd w:val="0"/>
        <w:jc w:val="center"/>
      </w:pPr>
      <w:r>
        <w:rPr>
          <w:lang w:val="en-GB"/>
        </w:rPr>
        <w:t xml:space="preserve"> (</w:t>
      </w:r>
      <w:proofErr w:type="gramStart"/>
      <w:r>
        <w:rPr>
          <w:lang w:val="en-GB"/>
        </w:rPr>
        <w:t>content</w:t>
      </w:r>
      <w:proofErr w:type="gramEnd"/>
      <w:r>
        <w:rPr>
          <w:lang w:val="en-GB"/>
        </w:rPr>
        <w:t xml:space="preserve"> of regulation)</w:t>
      </w:r>
    </w:p>
    <w:p w:rsidR="00C7694A" w:rsidRPr="00621FDE" w:rsidRDefault="00C7694A" w:rsidP="00621FDE">
      <w:pPr>
        <w:pStyle w:val="Odstavekseznama"/>
        <w:autoSpaceDE w:val="0"/>
        <w:autoSpaceDN w:val="0"/>
        <w:adjustRightInd w:val="0"/>
        <w:ind w:left="360" w:firstLine="0"/>
      </w:pPr>
    </w:p>
    <w:p w:rsidR="00176DB6" w:rsidRDefault="00176DB6" w:rsidP="009E0E25">
      <w:pPr>
        <w:pStyle w:val="Odstavekseznama"/>
        <w:numPr>
          <w:ilvl w:val="0"/>
          <w:numId w:val="57"/>
        </w:numPr>
        <w:autoSpaceDE w:val="0"/>
        <w:autoSpaceDN w:val="0"/>
        <w:adjustRightInd w:val="0"/>
      </w:pPr>
      <w:r>
        <w:rPr>
          <w:lang w:val="en-GB"/>
        </w:rPr>
        <w:t>This regulation sets outs the rules relating to the following areas of credit risk management at banks and savings banks (hereinafter: banks):</w:t>
      </w:r>
    </w:p>
    <w:p w:rsidR="009C5589" w:rsidRDefault="009C5589" w:rsidP="005156C6">
      <w:pPr>
        <w:pStyle w:val="Odstavekseznama"/>
        <w:numPr>
          <w:ilvl w:val="0"/>
          <w:numId w:val="7"/>
        </w:numPr>
        <w:autoSpaceDE w:val="0"/>
        <w:autoSpaceDN w:val="0"/>
        <w:adjustRightInd w:val="0"/>
      </w:pPr>
      <w:r>
        <w:rPr>
          <w:lang w:val="en-GB"/>
        </w:rPr>
        <w:t>credit approval;</w:t>
      </w:r>
    </w:p>
    <w:p w:rsidR="005869C9" w:rsidRDefault="005869C9" w:rsidP="005869C9">
      <w:pPr>
        <w:pStyle w:val="Odstavekseznama"/>
        <w:numPr>
          <w:ilvl w:val="0"/>
          <w:numId w:val="7"/>
        </w:numPr>
        <w:autoSpaceDE w:val="0"/>
        <w:autoSpaceDN w:val="0"/>
        <w:adjustRightInd w:val="0"/>
      </w:pPr>
      <w:r>
        <w:rPr>
          <w:lang w:val="en-GB"/>
        </w:rPr>
        <w:t>monitoring of credit risk;</w:t>
      </w:r>
    </w:p>
    <w:p w:rsidR="00176DB6" w:rsidRDefault="00176DB6" w:rsidP="005156C6">
      <w:pPr>
        <w:pStyle w:val="Odstavekseznama"/>
        <w:numPr>
          <w:ilvl w:val="0"/>
          <w:numId w:val="7"/>
        </w:numPr>
        <w:autoSpaceDE w:val="0"/>
        <w:autoSpaceDN w:val="0"/>
        <w:adjustRightInd w:val="0"/>
      </w:pPr>
      <w:r>
        <w:rPr>
          <w:lang w:val="en-GB"/>
        </w:rPr>
        <w:t>assignment of debtors and exposures to rating grades;</w:t>
      </w:r>
    </w:p>
    <w:p w:rsidR="004C3EAE" w:rsidRDefault="006C0EF6" w:rsidP="004C3EAE">
      <w:pPr>
        <w:pStyle w:val="Odstavekseznama"/>
        <w:numPr>
          <w:ilvl w:val="0"/>
          <w:numId w:val="7"/>
        </w:numPr>
        <w:autoSpaceDE w:val="0"/>
        <w:autoSpaceDN w:val="0"/>
        <w:adjustRightInd w:val="0"/>
      </w:pPr>
      <w:r>
        <w:rPr>
          <w:lang w:val="en-GB"/>
        </w:rPr>
        <w:t>management of credit protection;</w:t>
      </w:r>
    </w:p>
    <w:p w:rsidR="00D11133" w:rsidRDefault="00D11133" w:rsidP="005156C6">
      <w:pPr>
        <w:pStyle w:val="Odstavekseznama"/>
        <w:numPr>
          <w:ilvl w:val="0"/>
          <w:numId w:val="7"/>
        </w:numPr>
        <w:autoSpaceDE w:val="0"/>
        <w:autoSpaceDN w:val="0"/>
        <w:adjustRightInd w:val="0"/>
      </w:pPr>
      <w:r>
        <w:rPr>
          <w:lang w:val="en-GB"/>
        </w:rPr>
        <w:t>creation of value adjustments and provisions;</w:t>
      </w:r>
    </w:p>
    <w:p w:rsidR="00176DB6" w:rsidRDefault="00362F68" w:rsidP="005156C6">
      <w:pPr>
        <w:pStyle w:val="Odstavekseznama"/>
        <w:numPr>
          <w:ilvl w:val="0"/>
          <w:numId w:val="7"/>
        </w:numPr>
        <w:autoSpaceDE w:val="0"/>
        <w:autoSpaceDN w:val="0"/>
        <w:adjustRightInd w:val="0"/>
      </w:pPr>
      <w:r>
        <w:rPr>
          <w:lang w:val="en-GB"/>
        </w:rPr>
        <w:t>the early warning system for increased credit risk;</w:t>
      </w:r>
    </w:p>
    <w:p w:rsidR="00176DB6" w:rsidRDefault="00A06B0F" w:rsidP="005156C6">
      <w:pPr>
        <w:pStyle w:val="Odstavekseznama"/>
        <w:numPr>
          <w:ilvl w:val="0"/>
          <w:numId w:val="7"/>
        </w:numPr>
        <w:autoSpaceDE w:val="0"/>
        <w:autoSpaceDN w:val="0"/>
        <w:adjustRightInd w:val="0"/>
      </w:pPr>
      <w:r>
        <w:rPr>
          <w:lang w:val="en-GB"/>
        </w:rPr>
        <w:t>management of problem and forborne exposures;</w:t>
      </w:r>
    </w:p>
    <w:p w:rsidR="00C46672" w:rsidRDefault="000F26F1" w:rsidP="005156C6">
      <w:pPr>
        <w:pStyle w:val="Odstavekseznama"/>
        <w:numPr>
          <w:ilvl w:val="0"/>
          <w:numId w:val="7"/>
        </w:numPr>
        <w:autoSpaceDE w:val="0"/>
        <w:autoSpaceDN w:val="0"/>
        <w:adjustRightInd w:val="0"/>
      </w:pPr>
      <w:r>
        <w:rPr>
          <w:lang w:val="en-GB"/>
        </w:rPr>
        <w:t>management of data and credit documentation;</w:t>
      </w:r>
    </w:p>
    <w:p w:rsidR="00176DB6" w:rsidRDefault="0054294F" w:rsidP="005156C6">
      <w:pPr>
        <w:pStyle w:val="Odstavekseznama"/>
        <w:numPr>
          <w:ilvl w:val="0"/>
          <w:numId w:val="7"/>
        </w:numPr>
        <w:autoSpaceDE w:val="0"/>
        <w:autoSpaceDN w:val="0"/>
        <w:adjustRightInd w:val="0"/>
      </w:pPr>
      <w:r>
        <w:rPr>
          <w:lang w:val="en-GB"/>
        </w:rPr>
        <w:t>reporting on credit risk.</w:t>
      </w:r>
    </w:p>
    <w:p w:rsidR="00B75A20" w:rsidRDefault="00B75A20">
      <w:pPr>
        <w:autoSpaceDE w:val="0"/>
        <w:autoSpaceDN w:val="0"/>
        <w:adjustRightInd w:val="0"/>
      </w:pPr>
    </w:p>
    <w:p w:rsidR="00CB5978" w:rsidRPr="000410C9" w:rsidRDefault="00CB5978" w:rsidP="009E0E25">
      <w:pPr>
        <w:pStyle w:val="Odstavekseznama"/>
        <w:numPr>
          <w:ilvl w:val="0"/>
          <w:numId w:val="57"/>
        </w:numPr>
        <w:autoSpaceDE w:val="0"/>
        <w:autoSpaceDN w:val="0"/>
        <w:adjustRightInd w:val="0"/>
      </w:pPr>
      <w:r>
        <w:rPr>
          <w:lang w:val="en-GB"/>
        </w:rPr>
        <w:t>Wherever this regulation makes reference to the provisions of other regulations, these provisions shall apply in their wording applicable at the time in question.</w:t>
      </w:r>
    </w:p>
    <w:p w:rsidR="00A44DEA" w:rsidRDefault="00A44DEA">
      <w:pPr>
        <w:autoSpaceDE w:val="0"/>
        <w:autoSpaceDN w:val="0"/>
        <w:adjustRightInd w:val="0"/>
      </w:pPr>
    </w:p>
    <w:p w:rsidR="00176DB6" w:rsidRPr="0017515A" w:rsidRDefault="008E52FC" w:rsidP="004D0C7B">
      <w:pPr>
        <w:jc w:val="center"/>
        <w:rPr>
          <w:bCs/>
          <w:szCs w:val="22"/>
        </w:rPr>
      </w:pPr>
      <w:r>
        <w:rPr>
          <w:szCs w:val="22"/>
          <w:lang w:val="en-GB"/>
        </w:rPr>
        <w:t>Article 2</w:t>
      </w:r>
    </w:p>
    <w:p w:rsidR="00176DB6" w:rsidRPr="0017515A" w:rsidRDefault="00176DB6" w:rsidP="00176DB6">
      <w:pPr>
        <w:autoSpaceDE w:val="0"/>
        <w:autoSpaceDN w:val="0"/>
        <w:adjustRightInd w:val="0"/>
        <w:jc w:val="center"/>
      </w:pPr>
      <w:r>
        <w:rPr>
          <w:lang w:val="en-GB"/>
        </w:rPr>
        <w:t>(</w:t>
      </w:r>
      <w:proofErr w:type="gramStart"/>
      <w:r>
        <w:rPr>
          <w:lang w:val="en-GB"/>
        </w:rPr>
        <w:t>definition</w:t>
      </w:r>
      <w:proofErr w:type="gramEnd"/>
      <w:r>
        <w:rPr>
          <w:lang w:val="en-GB"/>
        </w:rPr>
        <w:t xml:space="preserve"> of terms) </w:t>
      </w:r>
    </w:p>
    <w:p w:rsidR="00176DB6" w:rsidRDefault="00176DB6" w:rsidP="00176DB6">
      <w:pPr>
        <w:ind w:left="284"/>
      </w:pPr>
    </w:p>
    <w:p w:rsidR="00176DB6" w:rsidRPr="00645082" w:rsidRDefault="00176DB6" w:rsidP="00637ABE">
      <w:pPr>
        <w:pStyle w:val="Odstavekseznama"/>
        <w:numPr>
          <w:ilvl w:val="0"/>
          <w:numId w:val="58"/>
        </w:numPr>
        <w:autoSpaceDE w:val="0"/>
        <w:autoSpaceDN w:val="0"/>
        <w:adjustRightInd w:val="0"/>
      </w:pPr>
      <w:r>
        <w:rPr>
          <w:lang w:val="en-GB"/>
        </w:rPr>
        <w:t>The terms used in this regulation shall have the same meanings as in the ZBan-2 or Regulation (EU) No 575/2013 of the European Parliament and of the Council of 26 June 2013 on prudential requirements for credit institutions and investment firms and amending Regulation (EU) No 648/2012 (hereinafter: Regulation (EU) No 575/2013), and in regulations issued on their basis.</w:t>
      </w:r>
    </w:p>
    <w:p w:rsidR="00176DB6" w:rsidRDefault="00176DB6" w:rsidP="00176DB6">
      <w:pPr>
        <w:autoSpaceDE w:val="0"/>
        <w:autoSpaceDN w:val="0"/>
        <w:adjustRightInd w:val="0"/>
      </w:pPr>
    </w:p>
    <w:p w:rsidR="00176DB6" w:rsidRDefault="00176DB6" w:rsidP="009E0E25">
      <w:pPr>
        <w:pStyle w:val="Odstavekseznama"/>
        <w:numPr>
          <w:ilvl w:val="0"/>
          <w:numId w:val="58"/>
        </w:numPr>
        <w:autoSpaceDE w:val="0"/>
        <w:autoSpaceDN w:val="0"/>
        <w:adjustRightInd w:val="0"/>
      </w:pPr>
      <w:r>
        <w:rPr>
          <w:lang w:val="en-GB"/>
        </w:rPr>
        <w:t xml:space="preserve">The following definitions shall apply for the purposes of this regulation: </w:t>
      </w:r>
    </w:p>
    <w:p w:rsidR="00193794" w:rsidRPr="00F83E0C" w:rsidRDefault="00193794" w:rsidP="00193794">
      <w:pPr>
        <w:pStyle w:val="Odstavekseznama"/>
        <w:numPr>
          <w:ilvl w:val="0"/>
          <w:numId w:val="8"/>
        </w:numPr>
      </w:pPr>
      <w:r>
        <w:rPr>
          <w:lang w:val="en-GB"/>
        </w:rPr>
        <w:t>the “debtor’s credit assessment” is an assessment of the creditworthiness of the debtor, i.e. the ability to repay liabilities to the bank by the contractually agreed deadlines;</w:t>
      </w:r>
    </w:p>
    <w:p w:rsidR="00193794" w:rsidRDefault="00193794" w:rsidP="00193794">
      <w:pPr>
        <w:pStyle w:val="Odstavekseznama"/>
        <w:numPr>
          <w:ilvl w:val="0"/>
          <w:numId w:val="8"/>
        </w:numPr>
      </w:pPr>
      <w:r>
        <w:rPr>
          <w:lang w:val="en-GB"/>
        </w:rPr>
        <w:t>the “rating grade” entails the category of risk within the framework of the rating scale to which debtors or exposures with similar credit risk are assigned;</w:t>
      </w:r>
    </w:p>
    <w:p w:rsidR="00B66017" w:rsidRDefault="00581A40" w:rsidP="00AE0B30">
      <w:pPr>
        <w:pStyle w:val="Odstavekseznama"/>
        <w:numPr>
          <w:ilvl w:val="0"/>
          <w:numId w:val="8"/>
        </w:numPr>
        <w:autoSpaceDE w:val="0"/>
        <w:autoSpaceDN w:val="0"/>
        <w:adjustRightInd w:val="0"/>
      </w:pPr>
      <w:r>
        <w:rPr>
          <w:lang w:val="en-GB"/>
        </w:rPr>
        <w:t xml:space="preserve">the “rating system” means all methods, processes, controls, data collection and information systems that support the assessment of credit risk, and the assignment of debtors and exposures to rating grades; </w:t>
      </w:r>
    </w:p>
    <w:p w:rsidR="001D54F2" w:rsidRDefault="001D54F2" w:rsidP="00AE0B30">
      <w:pPr>
        <w:pStyle w:val="Odstavekseznama"/>
        <w:numPr>
          <w:ilvl w:val="0"/>
          <w:numId w:val="8"/>
        </w:numPr>
        <w:autoSpaceDE w:val="0"/>
        <w:autoSpaceDN w:val="0"/>
        <w:adjustRightInd w:val="0"/>
      </w:pPr>
      <w:r>
        <w:rPr>
          <w:lang w:val="en-GB"/>
        </w:rPr>
        <w:t>the “central credit register” is the central credit register administered by the Bank of Slovenia in accordance with the Central Credit Register Act (Official Gazette of the Republic of Slovenia, No. 77/16);</w:t>
      </w:r>
    </w:p>
    <w:p w:rsidR="00C9281B" w:rsidRPr="0006558C" w:rsidRDefault="00C9281B" w:rsidP="00193794">
      <w:pPr>
        <w:pStyle w:val="Odstavekseznama"/>
        <w:numPr>
          <w:ilvl w:val="0"/>
          <w:numId w:val="8"/>
        </w:numPr>
        <w:autoSpaceDE w:val="0"/>
        <w:autoSpaceDN w:val="0"/>
        <w:adjustRightInd w:val="0"/>
      </w:pPr>
      <w:r>
        <w:rPr>
          <w:lang w:val="en-GB"/>
        </w:rPr>
        <w:t>the “valuation date” is the date to which a valuation applies;</w:t>
      </w:r>
    </w:p>
    <w:p w:rsidR="00193794" w:rsidRDefault="00193794" w:rsidP="00193794">
      <w:pPr>
        <w:pStyle w:val="Odstavekseznama"/>
        <w:numPr>
          <w:ilvl w:val="0"/>
          <w:numId w:val="8"/>
        </w:numPr>
        <w:autoSpaceDE w:val="0"/>
        <w:autoSpaceDN w:val="0"/>
        <w:adjustRightInd w:val="0"/>
      </w:pPr>
      <w:r>
        <w:rPr>
          <w:lang w:val="en-GB"/>
        </w:rPr>
        <w:t>“concession (forgiveness)” means forgiveness for the debtor by means of changes to the original terms of lending on legal or economic grounds relating to the debtor’s financial difficulties;</w:t>
      </w:r>
    </w:p>
    <w:p w:rsidR="00417847" w:rsidRDefault="005603D0" w:rsidP="00193794">
      <w:pPr>
        <w:pStyle w:val="Odstavekseznama"/>
        <w:numPr>
          <w:ilvl w:val="0"/>
          <w:numId w:val="8"/>
        </w:numPr>
        <w:autoSpaceDE w:val="0"/>
        <w:autoSpaceDN w:val="0"/>
        <w:adjustRightInd w:val="0"/>
      </w:pPr>
      <w:r>
        <w:rPr>
          <w:lang w:val="en-GB"/>
        </w:rPr>
        <w:t>“credit” is any on-balance-sheet or off-balance-sheet exposure that results in the bank being exposed to credit risk;</w:t>
      </w:r>
    </w:p>
    <w:p w:rsidR="00503B88" w:rsidRPr="00ED2B3D" w:rsidRDefault="00503B88" w:rsidP="00503B88">
      <w:pPr>
        <w:pStyle w:val="Odstavekseznama"/>
        <w:numPr>
          <w:ilvl w:val="0"/>
          <w:numId w:val="8"/>
        </w:numPr>
        <w:autoSpaceDE w:val="0"/>
        <w:autoSpaceDN w:val="0"/>
        <w:adjustRightInd w:val="0"/>
      </w:pPr>
      <w:r>
        <w:rPr>
          <w:lang w:val="en-GB"/>
        </w:rPr>
        <w:t>“credit risk” is the risk of a loss as a result of the failure of the debtor or the counterparty to settle liabilities by the contractually agreed deadline;</w:t>
      </w:r>
    </w:p>
    <w:p w:rsidR="00C455AF" w:rsidRPr="00A65F1B" w:rsidRDefault="00C455AF" w:rsidP="00AF0FB6">
      <w:pPr>
        <w:pStyle w:val="Odstavekseznama"/>
        <w:numPr>
          <w:ilvl w:val="0"/>
          <w:numId w:val="8"/>
        </w:numPr>
        <w:autoSpaceDE w:val="0"/>
        <w:autoSpaceDN w:val="0"/>
        <w:adjustRightInd w:val="0"/>
      </w:pPr>
      <w:r>
        <w:rPr>
          <w:lang w:val="en-GB"/>
        </w:rPr>
        <w:t>“non-performing exposures” are non-performing exposures as defined by Commission Implementing Regulation (EU) No 680/2014 of 16 April 2014 laying down implementing technical standards with regard to supervisory reporting of institutions according to Regulation (EU) No 575/2013 of the European Parliament and of the Council (OJ L 191 of 28 June 2014, p 1; hereinafter: Commission Implementing Regulation (EU) No 680/2014);</w:t>
      </w:r>
    </w:p>
    <w:p w:rsidR="001E0769" w:rsidRPr="00A65F1B" w:rsidRDefault="001E0769" w:rsidP="00AF0FB6">
      <w:pPr>
        <w:pStyle w:val="Odstavekseznama"/>
        <w:numPr>
          <w:ilvl w:val="0"/>
          <w:numId w:val="8"/>
        </w:numPr>
        <w:autoSpaceDE w:val="0"/>
        <w:autoSpaceDN w:val="0"/>
        <w:adjustRightInd w:val="0"/>
      </w:pPr>
      <w:r>
        <w:rPr>
          <w:lang w:val="en-GB"/>
        </w:rPr>
        <w:t>“exposures in default” are exposures in relation to which a default has occurred as defined in Article 178 of Regulation (EU) No 575/2013;</w:t>
      </w:r>
    </w:p>
    <w:p w:rsidR="00E86DE7" w:rsidRPr="009E5610" w:rsidRDefault="00E86DE7" w:rsidP="00AF0FB6">
      <w:pPr>
        <w:pStyle w:val="Odstavekseznama"/>
        <w:numPr>
          <w:ilvl w:val="0"/>
          <w:numId w:val="8"/>
        </w:numPr>
        <w:autoSpaceDE w:val="0"/>
        <w:autoSpaceDN w:val="0"/>
        <w:adjustRightInd w:val="0"/>
      </w:pPr>
      <w:r>
        <w:rPr>
          <w:lang w:val="en-GB"/>
        </w:rPr>
        <w:t>an “appraiser” is an independent appraiser, i.e. a person who possesses the necessary qualifications, skills and experience for conducting valuations, and is independent of the decision-making process with regard to transactions secured by the assets undergoing valuation;</w:t>
      </w:r>
    </w:p>
    <w:p w:rsidR="00535DEB" w:rsidRPr="00011407" w:rsidRDefault="00535DEB" w:rsidP="00AF0FB6">
      <w:pPr>
        <w:pStyle w:val="Odstavekseznama"/>
        <w:numPr>
          <w:ilvl w:val="0"/>
          <w:numId w:val="8"/>
        </w:numPr>
        <w:autoSpaceDE w:val="0"/>
        <w:autoSpaceDN w:val="0"/>
        <w:adjustRightInd w:val="0"/>
      </w:pPr>
      <w:r>
        <w:rPr>
          <w:lang w:val="en-GB"/>
        </w:rPr>
        <w:t>a “business entity” is a legal person, sole trader or a registered professional;</w:t>
      </w:r>
    </w:p>
    <w:p w:rsidR="00D26C9E" w:rsidRDefault="00D26C9E" w:rsidP="0077210A">
      <w:pPr>
        <w:pStyle w:val="Odstavekseznama"/>
        <w:numPr>
          <w:ilvl w:val="0"/>
          <w:numId w:val="8"/>
        </w:numPr>
        <w:autoSpaceDE w:val="0"/>
        <w:autoSpaceDN w:val="0"/>
        <w:adjustRightInd w:val="0"/>
      </w:pPr>
      <w:r>
        <w:rPr>
          <w:lang w:val="en-GB"/>
        </w:rPr>
        <w:t>“residual risk” is the risk of the effectiveness of credit protection being less than expected, as a result of the occurrence or increase of other risks (e.g. legal risk, operational risk, liquidity risk, market risk) owing to the use of credit protection;</w:t>
      </w:r>
    </w:p>
    <w:p w:rsidR="00C10933" w:rsidRPr="00011407" w:rsidRDefault="00C10933" w:rsidP="00AF0FB6">
      <w:pPr>
        <w:pStyle w:val="Odstavekseznama"/>
        <w:numPr>
          <w:ilvl w:val="0"/>
          <w:numId w:val="8"/>
        </w:numPr>
        <w:autoSpaceDE w:val="0"/>
        <w:autoSpaceDN w:val="0"/>
        <w:adjustRightInd w:val="0"/>
      </w:pPr>
      <w:r>
        <w:rPr>
          <w:lang w:val="en-GB"/>
        </w:rPr>
        <w:t>“problem exposures” are non-performing exposures and other problem exposures as defined by the bank;</w:t>
      </w:r>
    </w:p>
    <w:p w:rsidR="00627774" w:rsidRDefault="00627774" w:rsidP="00AF0FB6">
      <w:pPr>
        <w:pStyle w:val="Odstavekseznama"/>
        <w:numPr>
          <w:ilvl w:val="0"/>
          <w:numId w:val="8"/>
        </w:numPr>
        <w:autoSpaceDE w:val="0"/>
        <w:autoSpaceDN w:val="0"/>
        <w:adjustRightInd w:val="0"/>
      </w:pPr>
      <w:r>
        <w:rPr>
          <w:lang w:val="en-GB"/>
        </w:rPr>
        <w:t>“forborne exposures” are forborne exposures as defined by of Commission Implementing Regulation (EU) No 680/2014;</w:t>
      </w:r>
    </w:p>
    <w:p w:rsidR="00011407" w:rsidRPr="00F93927" w:rsidRDefault="00011407" w:rsidP="00011407">
      <w:pPr>
        <w:pStyle w:val="Odstavekseznama"/>
        <w:numPr>
          <w:ilvl w:val="0"/>
          <w:numId w:val="8"/>
        </w:numPr>
        <w:autoSpaceDE w:val="0"/>
        <w:autoSpaceDN w:val="0"/>
        <w:adjustRightInd w:val="0"/>
      </w:pPr>
      <w:r>
        <w:rPr>
          <w:lang w:val="en-GB"/>
        </w:rPr>
        <w:t>“valuation standards” are the applicable international and European valuation standards, namely the International Valuation Standards adopted by the International Valuation Standards Council (IVSC), the European Valuation Standards adopted by the European Group of Valuers’ Associations (TEGOVA), and the valuation standards adopted by the Royal Institute of Chartered Surveyors (RICS);</w:t>
      </w:r>
    </w:p>
    <w:p w:rsidR="00F74560" w:rsidRDefault="00F74560" w:rsidP="00011407">
      <w:pPr>
        <w:pStyle w:val="Odstavekseznama"/>
        <w:numPr>
          <w:ilvl w:val="0"/>
          <w:numId w:val="8"/>
        </w:numPr>
        <w:autoSpaceDE w:val="0"/>
        <w:autoSpaceDN w:val="0"/>
        <w:adjustRightInd w:val="0"/>
      </w:pPr>
      <w:r>
        <w:rPr>
          <w:lang w:val="en-GB"/>
        </w:rPr>
        <w:t>“concentration risk” is the risk of excessive direct and/or indirect exposure arising from the credit risk of a bank or banking group vis-à-vis an individual client, a group of connected clients, or clients linked by common risk factors;</w:t>
      </w:r>
    </w:p>
    <w:p w:rsidR="00745FB6" w:rsidRPr="00354549" w:rsidRDefault="005124AF" w:rsidP="00011407">
      <w:pPr>
        <w:pStyle w:val="Odstavekseznama"/>
        <w:numPr>
          <w:ilvl w:val="0"/>
          <w:numId w:val="8"/>
        </w:numPr>
        <w:autoSpaceDE w:val="0"/>
        <w:autoSpaceDN w:val="0"/>
        <w:adjustRightInd w:val="0"/>
      </w:pPr>
      <w:r>
        <w:rPr>
          <w:lang w:val="en-GB"/>
        </w:rPr>
        <w:t>“credit risk in foreign currencies” is the credit risk inherent in credit in foreign currencies where the borrowers have not used hedging against currency risk;</w:t>
      </w:r>
    </w:p>
    <w:p w:rsidR="00654B7C" w:rsidRDefault="00654B7C" w:rsidP="00011407">
      <w:pPr>
        <w:pStyle w:val="Odstavekseznama"/>
        <w:numPr>
          <w:ilvl w:val="0"/>
          <w:numId w:val="8"/>
        </w:numPr>
        <w:autoSpaceDE w:val="0"/>
        <w:autoSpaceDN w:val="0"/>
        <w:adjustRightInd w:val="0"/>
      </w:pPr>
      <w:r>
        <w:rPr>
          <w:color w:val="000000" w:themeColor="text1"/>
          <w:lang w:val="en-GB"/>
        </w:rPr>
        <w:t>“validation” means the independent vetting of the adequacy of a rating system and its compliance with the relevant requirements for the rating system.</w:t>
      </w:r>
    </w:p>
    <w:p w:rsidR="00D57C2F" w:rsidRDefault="00D57C2F" w:rsidP="001F5A51">
      <w:pPr>
        <w:autoSpaceDE w:val="0"/>
        <w:autoSpaceDN w:val="0"/>
        <w:adjustRightInd w:val="0"/>
        <w:jc w:val="center"/>
      </w:pPr>
    </w:p>
    <w:p w:rsidR="003B4520" w:rsidRDefault="003B4520" w:rsidP="001F5A51">
      <w:pPr>
        <w:autoSpaceDE w:val="0"/>
        <w:autoSpaceDN w:val="0"/>
        <w:adjustRightInd w:val="0"/>
        <w:jc w:val="center"/>
      </w:pPr>
    </w:p>
    <w:p w:rsidR="00D11133" w:rsidRPr="0017515A" w:rsidRDefault="00D11133" w:rsidP="00231EFD">
      <w:pPr>
        <w:pStyle w:val="Naslov1"/>
        <w:numPr>
          <w:ilvl w:val="0"/>
          <w:numId w:val="171"/>
        </w:numPr>
        <w:autoSpaceDE/>
        <w:autoSpaceDN/>
        <w:adjustRightInd/>
        <w:jc w:val="center"/>
        <w:rPr>
          <w:rFonts w:ascii="Times New Roman" w:hAnsi="Times New Roman" w:cs="Arial"/>
          <w:i w:val="0"/>
          <w:caps/>
          <w:kern w:val="32"/>
          <w:szCs w:val="22"/>
        </w:rPr>
      </w:pPr>
      <w:r>
        <w:rPr>
          <w:rFonts w:ascii="Times New Roman" w:hAnsi="Times New Roman" w:cs="Arial"/>
          <w:bCs/>
          <w:i w:val="0"/>
          <w:caps/>
          <w:kern w:val="32"/>
          <w:szCs w:val="22"/>
          <w:lang w:val="en-GB"/>
        </w:rPr>
        <w:t xml:space="preserve">credit approval </w:t>
      </w:r>
    </w:p>
    <w:p w:rsidR="00D11133" w:rsidRDefault="00D11133" w:rsidP="00231EFD">
      <w:pPr>
        <w:pStyle w:val="Naslov1"/>
        <w:tabs>
          <w:tab w:val="clear" w:pos="0"/>
        </w:tabs>
        <w:ind w:left="432" w:firstLine="0"/>
        <w:jc w:val="both"/>
        <w:rPr>
          <w:rFonts w:ascii="Times New Roman" w:hAnsi="Times New Roman" w:cs="Arial"/>
          <w:i w:val="0"/>
          <w:caps/>
          <w:kern w:val="32"/>
          <w:szCs w:val="22"/>
        </w:rPr>
      </w:pPr>
    </w:p>
    <w:p w:rsidR="007C6F3A" w:rsidRPr="00241FDB" w:rsidRDefault="007C6F3A" w:rsidP="004D0C7B">
      <w:pPr>
        <w:keepNext/>
        <w:jc w:val="center"/>
        <w:rPr>
          <w:bCs/>
          <w:szCs w:val="22"/>
        </w:rPr>
      </w:pPr>
      <w:r>
        <w:rPr>
          <w:szCs w:val="22"/>
          <w:lang w:val="en-GB"/>
        </w:rPr>
        <w:t>Article 3</w:t>
      </w:r>
    </w:p>
    <w:p w:rsidR="007C6F3A" w:rsidRPr="006E0B96" w:rsidRDefault="007C6F3A" w:rsidP="00231EFD">
      <w:pPr>
        <w:keepNext/>
        <w:ind w:left="360"/>
        <w:jc w:val="center"/>
        <w:rPr>
          <w:bCs/>
          <w:szCs w:val="22"/>
        </w:rPr>
      </w:pPr>
      <w:r>
        <w:rPr>
          <w:szCs w:val="22"/>
          <w:lang w:val="en-GB"/>
        </w:rPr>
        <w:t>(</w:t>
      </w:r>
      <w:proofErr w:type="gramStart"/>
      <w:r>
        <w:rPr>
          <w:szCs w:val="22"/>
          <w:lang w:val="en-GB"/>
        </w:rPr>
        <w:t>credit</w:t>
      </w:r>
      <w:proofErr w:type="gramEnd"/>
      <w:r>
        <w:rPr>
          <w:szCs w:val="22"/>
          <w:lang w:val="en-GB"/>
        </w:rPr>
        <w:t xml:space="preserve"> approval process)</w:t>
      </w:r>
    </w:p>
    <w:p w:rsidR="007C6F3A" w:rsidRDefault="007C6F3A" w:rsidP="00231EFD">
      <w:pPr>
        <w:keepNext/>
      </w:pPr>
    </w:p>
    <w:p w:rsidR="00D11AAF" w:rsidRDefault="007C6F3A" w:rsidP="00231EFD">
      <w:pPr>
        <w:pStyle w:val="Odstavekseznama"/>
        <w:keepNext/>
        <w:numPr>
          <w:ilvl w:val="0"/>
          <w:numId w:val="123"/>
        </w:numPr>
      </w:pPr>
      <w:r>
        <w:rPr>
          <w:lang w:val="en-GB"/>
        </w:rPr>
        <w:t xml:space="preserve">A bank shall put in place a credit approval process that draws distinctions at least by the type of debtor, the source of cash flows for repaying the credit (e.g. borrower’s income, income generated by financial assets), the exposure amount and the complexity of the product. </w:t>
      </w:r>
    </w:p>
    <w:p w:rsidR="007C6F3A" w:rsidRPr="00B2546E" w:rsidRDefault="007C6F3A" w:rsidP="00D11AAF">
      <w:pPr>
        <w:pStyle w:val="Odstavekseznama"/>
        <w:ind w:left="360" w:firstLine="0"/>
      </w:pPr>
    </w:p>
    <w:p w:rsidR="007C6F3A" w:rsidRDefault="007C6F3A" w:rsidP="0006558C">
      <w:pPr>
        <w:pStyle w:val="Odstavekseznama"/>
        <w:numPr>
          <w:ilvl w:val="0"/>
          <w:numId w:val="123"/>
        </w:numPr>
      </w:pPr>
      <w:r>
        <w:rPr>
          <w:lang w:val="en-GB"/>
        </w:rPr>
        <w:t>The bank shall have a clearly defined process for approving new credit, and for modifying, rolling over and refinancing existing credit.</w:t>
      </w:r>
    </w:p>
    <w:p w:rsidR="00E63B3F" w:rsidRDefault="00E63B3F" w:rsidP="00E63B3F">
      <w:pPr>
        <w:pStyle w:val="Odstavekseznama"/>
      </w:pPr>
    </w:p>
    <w:p w:rsidR="00E63B3F" w:rsidRPr="008544BE" w:rsidRDefault="00E63B3F" w:rsidP="00D11AAF">
      <w:pPr>
        <w:numPr>
          <w:ilvl w:val="0"/>
          <w:numId w:val="123"/>
        </w:numPr>
      </w:pPr>
      <w:r>
        <w:rPr>
          <w:lang w:val="en-GB"/>
        </w:rPr>
        <w:t>The bank shall put in place a clear and consistent organisational structure for decision-making in credit approval. The credit approval policy and process shall include a clear segregation of powers and duties with regard to credit approval within the framework of the bank and among entities within the framework of the banking group.</w:t>
      </w:r>
    </w:p>
    <w:p w:rsidR="007C6F3A" w:rsidRDefault="007C6F3A" w:rsidP="007C6F3A">
      <w:pPr>
        <w:pStyle w:val="Odstavekseznama"/>
        <w:ind w:left="360"/>
        <w:rPr>
          <w:highlight w:val="green"/>
        </w:rPr>
      </w:pPr>
    </w:p>
    <w:p w:rsidR="00D11133" w:rsidRPr="00241FDB" w:rsidRDefault="00D11133" w:rsidP="004D0C7B">
      <w:pPr>
        <w:jc w:val="center"/>
        <w:rPr>
          <w:bCs/>
          <w:szCs w:val="22"/>
        </w:rPr>
      </w:pPr>
      <w:r>
        <w:rPr>
          <w:szCs w:val="22"/>
          <w:lang w:val="en-GB"/>
        </w:rPr>
        <w:t>Article 4</w:t>
      </w:r>
    </w:p>
    <w:p w:rsidR="00D11133" w:rsidRDefault="00D11133" w:rsidP="00D11133">
      <w:pPr>
        <w:autoSpaceDE w:val="0"/>
        <w:autoSpaceDN w:val="0"/>
        <w:adjustRightInd w:val="0"/>
        <w:jc w:val="center"/>
      </w:pPr>
      <w:r>
        <w:rPr>
          <w:lang w:val="en-GB"/>
        </w:rPr>
        <w:t>(</w:t>
      </w:r>
      <w:proofErr w:type="gramStart"/>
      <w:r>
        <w:rPr>
          <w:lang w:val="en-GB"/>
        </w:rPr>
        <w:t>power</w:t>
      </w:r>
      <w:proofErr w:type="gramEnd"/>
      <w:r>
        <w:rPr>
          <w:lang w:val="en-GB"/>
        </w:rPr>
        <w:t xml:space="preserve"> of approval)</w:t>
      </w:r>
    </w:p>
    <w:p w:rsidR="00D11133" w:rsidRDefault="00D11133" w:rsidP="00D11133">
      <w:pPr>
        <w:pStyle w:val="Odstavekseznama"/>
      </w:pPr>
    </w:p>
    <w:p w:rsidR="00A74354" w:rsidRPr="0006558C" w:rsidRDefault="007C7D28" w:rsidP="0006558C">
      <w:pPr>
        <w:pStyle w:val="Odstavekseznama"/>
        <w:numPr>
          <w:ilvl w:val="0"/>
          <w:numId w:val="124"/>
        </w:numPr>
      </w:pPr>
      <w:r>
        <w:rPr>
          <w:lang w:val="en-GB"/>
        </w:rPr>
        <w:t xml:space="preserve">A bank shall ensure that the power of credit approval lies in the hands of persons with the requisite knowledge and professional experience. In a bylaw the bank shall provide a detailed definition of the delegation of powers of credit approval. The powers shall be clearly delegated across the appropriate levels of the bank, and shall draw distinctions with regard to the type, purpose and amount of the credit.  Credit documentation shall make clearly evident who approved the credit. </w:t>
      </w:r>
    </w:p>
    <w:p w:rsidR="00A74354" w:rsidRPr="0006558C" w:rsidRDefault="00A74354" w:rsidP="00D11133">
      <w:pPr>
        <w:pStyle w:val="Odstavekseznama"/>
      </w:pPr>
    </w:p>
    <w:p w:rsidR="00D11133" w:rsidRPr="0006558C" w:rsidRDefault="00D11133" w:rsidP="0006558C">
      <w:pPr>
        <w:pStyle w:val="Odstavekseznama"/>
        <w:numPr>
          <w:ilvl w:val="0"/>
          <w:numId w:val="124"/>
        </w:numPr>
      </w:pPr>
      <w:r>
        <w:rPr>
          <w:lang w:val="en-GB"/>
        </w:rPr>
        <w:t>Each credit approval decision shall be subject to the approval of the commercial operations unit and the risk management unit, whereby the bank shall take account of the attributes, complexity and risk of the credit in question. When the credit approval decision is not significant from the perspective of risk, the commercial operations unit may decide on the matter alone.</w:t>
      </w:r>
    </w:p>
    <w:p w:rsidR="00D11133" w:rsidRPr="0006558C" w:rsidRDefault="00D11133" w:rsidP="0006558C">
      <w:pPr>
        <w:pStyle w:val="Odstavekseznama"/>
        <w:ind w:left="360" w:firstLine="0"/>
      </w:pPr>
    </w:p>
    <w:p w:rsidR="00D11133" w:rsidRPr="00B2546E" w:rsidRDefault="00D11133" w:rsidP="0006558C">
      <w:pPr>
        <w:pStyle w:val="Odstavekseznama"/>
        <w:numPr>
          <w:ilvl w:val="0"/>
          <w:numId w:val="124"/>
        </w:numPr>
      </w:pPr>
      <w:r>
        <w:rPr>
          <w:lang w:val="en-GB"/>
        </w:rPr>
        <w:t>In the event of the commercial operations unit and the risk management unit disagreeing with regard to credit approval, the bank shall ensure that the established decision-making rules are upheld.</w:t>
      </w:r>
    </w:p>
    <w:p w:rsidR="00D11133" w:rsidRPr="00B2546E" w:rsidRDefault="00D11133" w:rsidP="00D11133"/>
    <w:p w:rsidR="00A74354" w:rsidRPr="00B2546E" w:rsidRDefault="00A74354" w:rsidP="00032971">
      <w:pPr>
        <w:pStyle w:val="Odstavekseznama"/>
        <w:numPr>
          <w:ilvl w:val="0"/>
          <w:numId w:val="124"/>
        </w:numPr>
      </w:pPr>
      <w:r>
        <w:rPr>
          <w:lang w:val="en-GB"/>
        </w:rPr>
        <w:t>The bank shall put in place clear rules and procedures with regard to powers in the treatment and approval of exceptions (e.g. override of credit assessment, credit approval under terms that deviate from the accepted standards of lending and credit protection policy). Lending that does not comply with the policy and the prescribed terms may only be proposed in exceptional cases. Such cases shall be documented and substantiated, and the power of approval of such transactions shall lie with the relevant body of the bank.</w:t>
      </w:r>
    </w:p>
    <w:p w:rsidR="00A74354" w:rsidRDefault="00A74354" w:rsidP="00A74354">
      <w:pPr>
        <w:jc w:val="right"/>
        <w:rPr>
          <w:highlight w:val="cyan"/>
        </w:rPr>
      </w:pPr>
    </w:p>
    <w:p w:rsidR="00FD0406" w:rsidRPr="00241FDB" w:rsidRDefault="00FD0406" w:rsidP="004D0C7B">
      <w:pPr>
        <w:jc w:val="center"/>
        <w:rPr>
          <w:bCs/>
          <w:szCs w:val="22"/>
        </w:rPr>
      </w:pPr>
      <w:r>
        <w:rPr>
          <w:szCs w:val="22"/>
          <w:lang w:val="en-GB"/>
        </w:rPr>
        <w:t>Article 5</w:t>
      </w:r>
    </w:p>
    <w:p w:rsidR="00FD0406" w:rsidRDefault="00FD0406" w:rsidP="00FD0406">
      <w:pPr>
        <w:autoSpaceDE w:val="0"/>
        <w:autoSpaceDN w:val="0"/>
        <w:adjustRightInd w:val="0"/>
        <w:jc w:val="center"/>
      </w:pPr>
      <w:r>
        <w:rPr>
          <w:lang w:val="en-GB"/>
        </w:rPr>
        <w:t>(</w:t>
      </w:r>
      <w:proofErr w:type="gramStart"/>
      <w:r>
        <w:rPr>
          <w:lang w:val="en-GB"/>
        </w:rPr>
        <w:t>criteria</w:t>
      </w:r>
      <w:proofErr w:type="gramEnd"/>
      <w:r>
        <w:rPr>
          <w:lang w:val="en-GB"/>
        </w:rPr>
        <w:t xml:space="preserve"> for deciding on credit approval)</w:t>
      </w:r>
    </w:p>
    <w:p w:rsidR="00FD0406" w:rsidRDefault="00FD0406" w:rsidP="00D11133"/>
    <w:p w:rsidR="00284763" w:rsidRPr="00345403" w:rsidRDefault="00F4094A" w:rsidP="00284763">
      <w:pPr>
        <w:pStyle w:val="Odstavekseznama"/>
        <w:numPr>
          <w:ilvl w:val="0"/>
          <w:numId w:val="131"/>
        </w:numPr>
      </w:pPr>
      <w:r>
        <w:rPr>
          <w:lang w:val="en-GB"/>
        </w:rPr>
        <w:t>The key criterion in credit approval is an assessment of the client’s creditworthiness.</w:t>
      </w:r>
    </w:p>
    <w:p w:rsidR="00284763" w:rsidRDefault="00284763" w:rsidP="00284763">
      <w:pPr>
        <w:pStyle w:val="Odstavekseznama"/>
        <w:ind w:left="360" w:firstLine="0"/>
      </w:pPr>
    </w:p>
    <w:p w:rsidR="000F7BF2" w:rsidRPr="00B2546E" w:rsidRDefault="000F26F1" w:rsidP="00284763">
      <w:pPr>
        <w:pStyle w:val="Odstavekseznama"/>
        <w:numPr>
          <w:ilvl w:val="0"/>
          <w:numId w:val="131"/>
        </w:numPr>
      </w:pPr>
      <w:r>
        <w:rPr>
          <w:lang w:val="en-GB"/>
        </w:rPr>
        <w:t xml:space="preserve">A bank shall put in place appropriate and precisely defined criteria for deciding on credit approval, which shall include the following at least:  </w:t>
      </w:r>
    </w:p>
    <w:p w:rsidR="00284763" w:rsidRPr="00B2546E" w:rsidRDefault="00284763" w:rsidP="00284763">
      <w:pPr>
        <w:pStyle w:val="Odstavekseznama"/>
        <w:numPr>
          <w:ilvl w:val="0"/>
          <w:numId w:val="99"/>
        </w:numPr>
      </w:pPr>
      <w:r>
        <w:rPr>
          <w:lang w:val="en-GB"/>
        </w:rPr>
        <w:t>the target market segment, as defined by the strategy for taking up and managing credit risk;</w:t>
      </w:r>
    </w:p>
    <w:p w:rsidR="00DF6330" w:rsidRPr="00B2546E" w:rsidRDefault="00DF6330" w:rsidP="002520C8">
      <w:pPr>
        <w:pStyle w:val="Odstavekseznama"/>
        <w:numPr>
          <w:ilvl w:val="0"/>
          <w:numId w:val="99"/>
        </w:numPr>
      </w:pPr>
      <w:r>
        <w:rPr>
          <w:lang w:val="en-GB"/>
        </w:rPr>
        <w:t>the purpose of the credit and source of repayment;</w:t>
      </w:r>
    </w:p>
    <w:p w:rsidR="00E122B4" w:rsidRPr="00B2546E" w:rsidRDefault="00DF6330" w:rsidP="00DF6330">
      <w:pPr>
        <w:pStyle w:val="Odstavekseznama"/>
        <w:numPr>
          <w:ilvl w:val="0"/>
          <w:numId w:val="99"/>
        </w:numPr>
      </w:pPr>
      <w:r>
        <w:rPr>
          <w:lang w:val="en-GB"/>
        </w:rPr>
        <w:t xml:space="preserve">the client’s current risk profile; </w:t>
      </w:r>
    </w:p>
    <w:p w:rsidR="00E122B4" w:rsidRPr="00B2546E" w:rsidRDefault="00E122B4" w:rsidP="00E122B4">
      <w:pPr>
        <w:pStyle w:val="Odstavekseznama"/>
        <w:numPr>
          <w:ilvl w:val="0"/>
          <w:numId w:val="99"/>
        </w:numPr>
      </w:pPr>
      <w:r>
        <w:rPr>
          <w:lang w:val="en-GB"/>
        </w:rPr>
        <w:t>the debtor’s past payment habits, the current credit repayment capacity, and projections of future cash flows on the basis of various scenarios;</w:t>
      </w:r>
    </w:p>
    <w:p w:rsidR="003D5D71" w:rsidRPr="00B2546E" w:rsidRDefault="003D5D71" w:rsidP="003D5D71">
      <w:pPr>
        <w:pStyle w:val="Odstavekseznama"/>
        <w:numPr>
          <w:ilvl w:val="0"/>
          <w:numId w:val="99"/>
        </w:numPr>
      </w:pPr>
      <w:r>
        <w:rPr>
          <w:lang w:val="en-GB"/>
        </w:rPr>
        <w:t>the quality and amount of credit protection;</w:t>
      </w:r>
    </w:p>
    <w:p w:rsidR="002E3871" w:rsidRPr="00B2546E" w:rsidRDefault="00E122B4" w:rsidP="002E3871">
      <w:pPr>
        <w:pStyle w:val="Odstavekseznama"/>
        <w:numPr>
          <w:ilvl w:val="0"/>
          <w:numId w:val="99"/>
        </w:numPr>
      </w:pPr>
      <w:r>
        <w:rPr>
          <w:lang w:val="en-GB"/>
        </w:rPr>
        <w:t>loan terms, including contractual commitments limiting the client’s risk level in the future;</w:t>
      </w:r>
    </w:p>
    <w:p w:rsidR="00E122B4" w:rsidRPr="00B2546E" w:rsidRDefault="002E3871" w:rsidP="00227918">
      <w:pPr>
        <w:pStyle w:val="Odstavekseznama"/>
        <w:numPr>
          <w:ilvl w:val="0"/>
          <w:numId w:val="99"/>
        </w:numPr>
      </w:pPr>
      <w:r>
        <w:rPr>
          <w:lang w:val="en-GB"/>
        </w:rPr>
        <w:t>an assessment of the senior management’s level of expertise and capability, the client’s position in the sector and the general situation in the sector (in the case of corporate credit).</w:t>
      </w:r>
    </w:p>
    <w:p w:rsidR="000F7BF2" w:rsidRPr="003D5D71" w:rsidRDefault="000F7BF2" w:rsidP="000F7BF2"/>
    <w:p w:rsidR="00FD0406" w:rsidRPr="00241FDB" w:rsidRDefault="00FD0406" w:rsidP="004D0C7B">
      <w:pPr>
        <w:keepNext/>
        <w:jc w:val="center"/>
        <w:rPr>
          <w:bCs/>
          <w:szCs w:val="22"/>
        </w:rPr>
      </w:pPr>
      <w:r>
        <w:rPr>
          <w:szCs w:val="22"/>
          <w:lang w:val="en-GB"/>
        </w:rPr>
        <w:t>Article 6</w:t>
      </w:r>
    </w:p>
    <w:p w:rsidR="00FD0406" w:rsidRDefault="00FD0406" w:rsidP="008A27B1">
      <w:pPr>
        <w:keepNext/>
        <w:autoSpaceDE w:val="0"/>
        <w:autoSpaceDN w:val="0"/>
        <w:adjustRightInd w:val="0"/>
        <w:jc w:val="center"/>
      </w:pPr>
      <w:r>
        <w:rPr>
          <w:lang w:val="en-GB"/>
        </w:rPr>
        <w:t>(</w:t>
      </w:r>
      <w:proofErr w:type="gramStart"/>
      <w:r>
        <w:rPr>
          <w:lang w:val="en-GB"/>
        </w:rPr>
        <w:t>assessment</w:t>
      </w:r>
      <w:proofErr w:type="gramEnd"/>
      <w:r>
        <w:rPr>
          <w:lang w:val="en-GB"/>
        </w:rPr>
        <w:t xml:space="preserve"> of credit risk)</w:t>
      </w:r>
    </w:p>
    <w:p w:rsidR="00FD0406" w:rsidRPr="004F09C9" w:rsidRDefault="00FD0406" w:rsidP="008A27B1">
      <w:pPr>
        <w:keepNext/>
      </w:pPr>
    </w:p>
    <w:p w:rsidR="003C4554" w:rsidRPr="0061061C" w:rsidRDefault="000F26F1" w:rsidP="008A27B1">
      <w:pPr>
        <w:pStyle w:val="Odstavekseznama"/>
        <w:keepNext/>
        <w:numPr>
          <w:ilvl w:val="0"/>
          <w:numId w:val="126"/>
        </w:numPr>
      </w:pPr>
      <w:r>
        <w:rPr>
          <w:lang w:val="en-GB"/>
        </w:rPr>
        <w:t xml:space="preserve">Before the approval of any credit or the conclusion of any other contract based on which an exposure to credit risk arises on the part of the bank, a bank shall assess and analyse quantitative and qualitative information and other significant factors that facilitate a comprehensive assessment of the debtor’s ability to settle the liabilities to the bank. The bank shall take account of the client’s links to other persons that could affect its creditworthiness. It shall provide for an appropriately professional and objective evaluation of the credit risk assessment, and shall obtain sufficient information about the client to be able to determine its risk profile or to assess its creditworthiness and to assign it an appropriate credit assessment. It shall be particularly prudent with clients with whom it is entering into a contractual relationship for the first time. In its bylaws the bank shall prescribe the minimum scope of information that it is necessary to obtain from the client for an appropriate credit risk assessment and that is included in the proposal for credit approval. </w:t>
      </w:r>
    </w:p>
    <w:p w:rsidR="00492E31" w:rsidRPr="0061061C" w:rsidRDefault="00492E31" w:rsidP="006A6D4E">
      <w:pPr>
        <w:pStyle w:val="Odstavekseznama"/>
        <w:ind w:left="360" w:firstLine="0"/>
      </w:pPr>
    </w:p>
    <w:p w:rsidR="00492E31" w:rsidRPr="00436F13" w:rsidRDefault="003C4554">
      <w:pPr>
        <w:pStyle w:val="Odstavekseznama"/>
        <w:numPr>
          <w:ilvl w:val="0"/>
          <w:numId w:val="126"/>
        </w:numPr>
      </w:pPr>
      <w:r>
        <w:rPr>
          <w:lang w:val="en-GB"/>
        </w:rPr>
        <w:t xml:space="preserve">For the purposes of assessing the client’s creditworthiness the bank shall obtain data from the central credit register about the borrower and connected clients to which the bank is exposed as defined in point (a) of </w:t>
      </w:r>
      <w:r>
        <w:rPr>
          <w:lang w:val="en-GB"/>
        </w:rPr>
        <w:fldChar w:fldCharType="begin"/>
      </w:r>
      <w:r>
        <w:rPr>
          <w:lang w:val="en-GB"/>
        </w:rPr>
        <w:instrText xml:space="preserve"> REF _Ref491867448 \r \h  \* MERGEFORMAT </w:instrText>
      </w:r>
      <w:r>
        <w:rPr>
          <w:lang w:val="en-GB"/>
        </w:rPr>
      </w:r>
      <w:r>
        <w:rPr>
          <w:lang w:val="en-GB"/>
        </w:rPr>
        <w:fldChar w:fldCharType="separate"/>
      </w:r>
      <w:r>
        <w:rPr>
          <w:lang w:val="en-GB"/>
        </w:rPr>
        <w:t>Article 7</w:t>
      </w:r>
      <w:r>
        <w:rPr>
          <w:lang w:val="en-GB"/>
        </w:rPr>
        <w:fldChar w:fldCharType="end"/>
      </w:r>
      <w:r>
        <w:rPr>
          <w:lang w:val="en-GB"/>
        </w:rPr>
        <w:t xml:space="preserve"> of this regulation. </w:t>
      </w:r>
    </w:p>
    <w:p w:rsidR="0009629F" w:rsidRDefault="0009629F" w:rsidP="0009629F">
      <w:pPr>
        <w:pStyle w:val="Odstavekseznama"/>
        <w:ind w:left="360" w:firstLine="0"/>
      </w:pPr>
    </w:p>
    <w:p w:rsidR="000F26F1" w:rsidRPr="00E82573" w:rsidRDefault="000F26F1" w:rsidP="006A6D4E">
      <w:pPr>
        <w:pStyle w:val="Odstavekseznama"/>
        <w:numPr>
          <w:ilvl w:val="0"/>
          <w:numId w:val="126"/>
        </w:numPr>
      </w:pPr>
      <w:r>
        <w:rPr>
          <w:lang w:val="en-GB"/>
        </w:rPr>
        <w:t>Banks participating in syndicated loans and other banking consortiums may not rely solely on the analysis of the bank that is leading the consortium, but instead shall themselves conduct independent and thorough analysis of credit risk in the same way as if they were independently approving the credit.</w:t>
      </w:r>
    </w:p>
    <w:p w:rsidR="000F26F1" w:rsidRPr="00E82573" w:rsidRDefault="000F26F1" w:rsidP="000F26F1"/>
    <w:p w:rsidR="000E6AAA" w:rsidRPr="00E82573" w:rsidRDefault="000E6AAA" w:rsidP="004D0C7B">
      <w:pPr>
        <w:jc w:val="center"/>
        <w:rPr>
          <w:bCs/>
          <w:szCs w:val="22"/>
        </w:rPr>
      </w:pPr>
      <w:bookmarkStart w:id="0" w:name="_Ref491867448"/>
      <w:r>
        <w:rPr>
          <w:szCs w:val="22"/>
          <w:lang w:val="en-GB"/>
        </w:rPr>
        <w:t>Article 7</w:t>
      </w:r>
      <w:bookmarkEnd w:id="0"/>
    </w:p>
    <w:p w:rsidR="000E6AAA" w:rsidRPr="00E82573" w:rsidRDefault="000E6AAA" w:rsidP="000E6AAA">
      <w:pPr>
        <w:autoSpaceDE w:val="0"/>
        <w:autoSpaceDN w:val="0"/>
        <w:adjustRightInd w:val="0"/>
        <w:jc w:val="center"/>
      </w:pPr>
      <w:r>
        <w:rPr>
          <w:lang w:val="en-GB"/>
        </w:rPr>
        <w:t>(</w:t>
      </w:r>
      <w:proofErr w:type="gramStart"/>
      <w:r>
        <w:rPr>
          <w:lang w:val="en-GB"/>
        </w:rPr>
        <w:t>identification</w:t>
      </w:r>
      <w:proofErr w:type="gramEnd"/>
      <w:r>
        <w:rPr>
          <w:lang w:val="en-GB"/>
        </w:rPr>
        <w:t xml:space="preserve"> of links)</w:t>
      </w:r>
    </w:p>
    <w:p w:rsidR="000E6AAA" w:rsidRPr="00E82573" w:rsidRDefault="000E6AAA" w:rsidP="004629EE">
      <w:pPr>
        <w:pStyle w:val="Odstavekseznama"/>
        <w:ind w:left="567" w:firstLine="0"/>
        <w:jc w:val="right"/>
      </w:pPr>
    </w:p>
    <w:p w:rsidR="004629EE" w:rsidRDefault="000E6AAA" w:rsidP="004629EE">
      <w:r>
        <w:rPr>
          <w:lang w:val="en-GB"/>
        </w:rPr>
        <w:t>A bank shall put in place a mechanism for identifying and monitoring links:</w:t>
      </w:r>
    </w:p>
    <w:p w:rsidR="004629EE" w:rsidRDefault="00627774" w:rsidP="004629EE">
      <w:pPr>
        <w:pStyle w:val="Odstavekseznama"/>
        <w:numPr>
          <w:ilvl w:val="0"/>
          <w:numId w:val="181"/>
        </w:numPr>
      </w:pPr>
      <w:r>
        <w:rPr>
          <w:lang w:val="en-GB"/>
        </w:rPr>
        <w:t xml:space="preserve">between clients in accordance with point 39 of Article 4(1) of Regulation (EU) No 575/2013 (connected clients); </w:t>
      </w:r>
    </w:p>
    <w:p w:rsidR="000E6AAA" w:rsidRPr="00E82573" w:rsidRDefault="00627774" w:rsidP="004629EE">
      <w:pPr>
        <w:pStyle w:val="Odstavekseznama"/>
        <w:numPr>
          <w:ilvl w:val="0"/>
          <w:numId w:val="181"/>
        </w:numPr>
      </w:pPr>
      <w:r>
        <w:rPr>
          <w:lang w:val="en-GB"/>
        </w:rPr>
        <w:t xml:space="preserve">between a particular client and the bank in accordance with Article 149 of the ZBan-2 (persons in a special relationship with the bank). </w:t>
      </w:r>
    </w:p>
    <w:p w:rsidR="000E6AAA" w:rsidRPr="00E82573" w:rsidRDefault="000E6AAA" w:rsidP="004629EE">
      <w:pPr>
        <w:pStyle w:val="Odstavekseznama"/>
        <w:ind w:left="360" w:firstLine="0"/>
      </w:pPr>
    </w:p>
    <w:p w:rsidR="006E0B96" w:rsidRPr="00241FDB" w:rsidRDefault="006E0B96" w:rsidP="004D0C7B">
      <w:pPr>
        <w:jc w:val="center"/>
        <w:rPr>
          <w:bCs/>
          <w:szCs w:val="22"/>
        </w:rPr>
      </w:pPr>
      <w:r>
        <w:rPr>
          <w:szCs w:val="22"/>
          <w:lang w:val="en-GB"/>
        </w:rPr>
        <w:t>Article 8</w:t>
      </w:r>
    </w:p>
    <w:p w:rsidR="006E0B96" w:rsidRPr="006E0B96" w:rsidRDefault="006E0B96" w:rsidP="006E0B96">
      <w:pPr>
        <w:ind w:left="360"/>
        <w:jc w:val="center"/>
        <w:rPr>
          <w:bCs/>
          <w:szCs w:val="22"/>
        </w:rPr>
      </w:pPr>
      <w:r>
        <w:rPr>
          <w:szCs w:val="22"/>
          <w:lang w:val="en-GB"/>
        </w:rPr>
        <w:t>(</w:t>
      </w:r>
      <w:proofErr w:type="gramStart"/>
      <w:r>
        <w:rPr>
          <w:szCs w:val="22"/>
          <w:lang w:val="en-GB"/>
        </w:rPr>
        <w:t>consideration</w:t>
      </w:r>
      <w:proofErr w:type="gramEnd"/>
      <w:r>
        <w:rPr>
          <w:szCs w:val="22"/>
          <w:lang w:val="en-GB"/>
        </w:rPr>
        <w:t xml:space="preserve"> of credit protection)</w:t>
      </w:r>
    </w:p>
    <w:p w:rsidR="006E0B96" w:rsidRDefault="006E0B96" w:rsidP="006E0B96">
      <w:pPr>
        <w:jc w:val="center"/>
      </w:pPr>
    </w:p>
    <w:p w:rsidR="00E52624" w:rsidRPr="009C5A1B" w:rsidRDefault="00E52624" w:rsidP="009C5A1B">
      <w:pPr>
        <w:pStyle w:val="Odstavekseznama"/>
        <w:numPr>
          <w:ilvl w:val="0"/>
          <w:numId w:val="133"/>
        </w:numPr>
      </w:pPr>
      <w:r>
        <w:rPr>
          <w:lang w:val="en-GB"/>
        </w:rPr>
        <w:t xml:space="preserve">A bank shall take account of the debtor’s solvency as the primary source of credit repayment, whereby the credit protection accepted for a particular credit represents a secondary source of credit repayment. The bank shall assess the credit quality of the underlying debtor or underlying exposure without regard to the existence of credit protection. </w:t>
      </w:r>
    </w:p>
    <w:p w:rsidR="009C5A1B" w:rsidRDefault="009C5A1B" w:rsidP="009C5A1B">
      <w:pPr>
        <w:ind w:left="360"/>
      </w:pPr>
    </w:p>
    <w:p w:rsidR="00F22BBC" w:rsidRPr="00CC2AA8" w:rsidRDefault="002C0935" w:rsidP="009C5A1B">
      <w:pPr>
        <w:numPr>
          <w:ilvl w:val="0"/>
          <w:numId w:val="133"/>
        </w:numPr>
      </w:pPr>
      <w:r>
        <w:rPr>
          <w:lang w:val="en-GB"/>
        </w:rPr>
        <w:t xml:space="preserve">Before approving the credit the bank shall verify the legal certainty of the credit protection, and shall assess the value of the credit protection as defined in Section 5 of this regulation. </w:t>
      </w:r>
    </w:p>
    <w:p w:rsidR="00F22BBC" w:rsidRDefault="00F22BBC" w:rsidP="00F22BBC">
      <w:pPr>
        <w:pStyle w:val="Odstavekseznama"/>
      </w:pPr>
    </w:p>
    <w:p w:rsidR="002C0935" w:rsidRPr="008171DA" w:rsidRDefault="002C0935" w:rsidP="009C5A1B">
      <w:pPr>
        <w:numPr>
          <w:ilvl w:val="0"/>
          <w:numId w:val="133"/>
        </w:numPr>
      </w:pPr>
      <w:r>
        <w:rPr>
          <w:lang w:val="en-GB"/>
        </w:rPr>
        <w:t xml:space="preserve">When the value of the credit protection is largely dependent on the credit risk of a provider of unfunded credit protection that is a third party, the bank shall also assess the credit risk of the aforementioned party. </w:t>
      </w:r>
    </w:p>
    <w:p w:rsidR="000F26F1" w:rsidRDefault="000F26F1" w:rsidP="000F26F1"/>
    <w:p w:rsidR="006E0B96" w:rsidRPr="00241FDB" w:rsidRDefault="006E0B96" w:rsidP="004D0C7B">
      <w:pPr>
        <w:keepNext/>
        <w:jc w:val="center"/>
        <w:rPr>
          <w:bCs/>
          <w:szCs w:val="22"/>
        </w:rPr>
      </w:pPr>
      <w:r>
        <w:rPr>
          <w:szCs w:val="22"/>
          <w:lang w:val="en-GB"/>
        </w:rPr>
        <w:t>Article 9</w:t>
      </w:r>
    </w:p>
    <w:p w:rsidR="006E0B96" w:rsidRPr="006E0B96" w:rsidRDefault="006E0B96" w:rsidP="00231EFD">
      <w:pPr>
        <w:keepNext/>
        <w:ind w:left="360"/>
        <w:jc w:val="center"/>
        <w:rPr>
          <w:bCs/>
          <w:szCs w:val="22"/>
        </w:rPr>
      </w:pPr>
      <w:r>
        <w:rPr>
          <w:szCs w:val="22"/>
          <w:lang w:val="en-GB"/>
        </w:rPr>
        <w:t>(</w:t>
      </w:r>
      <w:proofErr w:type="gramStart"/>
      <w:r>
        <w:rPr>
          <w:szCs w:val="22"/>
          <w:lang w:val="en-GB"/>
        </w:rPr>
        <w:t>limits</w:t>
      </w:r>
      <w:proofErr w:type="gramEnd"/>
      <w:r>
        <w:rPr>
          <w:szCs w:val="22"/>
          <w:lang w:val="en-GB"/>
        </w:rPr>
        <w:t xml:space="preserve"> on exposure to credit risk)</w:t>
      </w:r>
    </w:p>
    <w:p w:rsidR="006E0B96" w:rsidRPr="00A676A9" w:rsidRDefault="006E0B96" w:rsidP="00231EFD">
      <w:pPr>
        <w:keepNext/>
      </w:pPr>
    </w:p>
    <w:p w:rsidR="000F26F1" w:rsidRPr="0031400B" w:rsidRDefault="00FD344A" w:rsidP="00231EFD">
      <w:pPr>
        <w:keepNext/>
      </w:pPr>
      <w:r>
        <w:rPr>
          <w:lang w:val="en-GB"/>
        </w:rPr>
        <w:t xml:space="preserve">A bank shall ensure that credit is approved within the framework of approved limits on exposure to credit risk. </w:t>
      </w:r>
    </w:p>
    <w:p w:rsidR="000F26F1" w:rsidRDefault="000F26F1" w:rsidP="000F26F1">
      <w:pPr>
        <w:ind w:left="360"/>
      </w:pPr>
    </w:p>
    <w:p w:rsidR="00924982" w:rsidRPr="00241FDB" w:rsidRDefault="00924982" w:rsidP="004D0C7B">
      <w:pPr>
        <w:jc w:val="center"/>
        <w:rPr>
          <w:bCs/>
          <w:szCs w:val="22"/>
        </w:rPr>
      </w:pPr>
      <w:r>
        <w:rPr>
          <w:szCs w:val="22"/>
          <w:lang w:val="en-GB"/>
        </w:rPr>
        <w:t>Article 10</w:t>
      </w:r>
    </w:p>
    <w:p w:rsidR="00924982" w:rsidRPr="006E0B96" w:rsidRDefault="00924982" w:rsidP="00924982">
      <w:pPr>
        <w:ind w:left="360"/>
        <w:jc w:val="center"/>
        <w:rPr>
          <w:bCs/>
          <w:szCs w:val="22"/>
        </w:rPr>
      </w:pPr>
      <w:r>
        <w:rPr>
          <w:szCs w:val="22"/>
          <w:lang w:val="en-GB"/>
        </w:rPr>
        <w:t>(</w:t>
      </w:r>
      <w:proofErr w:type="gramStart"/>
      <w:r>
        <w:rPr>
          <w:szCs w:val="22"/>
          <w:lang w:val="en-GB"/>
        </w:rPr>
        <w:t>mechanisms</w:t>
      </w:r>
      <w:proofErr w:type="gramEnd"/>
      <w:r>
        <w:rPr>
          <w:szCs w:val="22"/>
          <w:lang w:val="en-GB"/>
        </w:rPr>
        <w:t xml:space="preserve"> for setting product prices)</w:t>
      </w:r>
    </w:p>
    <w:p w:rsidR="009608F9" w:rsidRDefault="009608F9" w:rsidP="00B64F96">
      <w:pPr>
        <w:ind w:left="360"/>
      </w:pPr>
    </w:p>
    <w:p w:rsidR="006E0B96" w:rsidRDefault="000F26F1" w:rsidP="0031400B">
      <w:r>
        <w:rPr>
          <w:lang w:val="en-GB"/>
        </w:rPr>
        <w:t>A bank shall ensure that the credit approval process includes appropriate mechanisms for setting product prices that are in accordance with the adopted credit risk management policies and take account of the debtor’s credit risk, the type of product, the exposure amount, and the type and value of credit protection.</w:t>
      </w:r>
    </w:p>
    <w:p w:rsidR="00286E67" w:rsidRPr="00B64F96" w:rsidRDefault="00286E67" w:rsidP="00286E67">
      <w:pPr>
        <w:ind w:left="360"/>
      </w:pPr>
    </w:p>
    <w:p w:rsidR="008F1187" w:rsidRPr="00241FDB" w:rsidRDefault="008F1187" w:rsidP="004D0C7B">
      <w:pPr>
        <w:keepNext/>
        <w:jc w:val="center"/>
        <w:rPr>
          <w:bCs/>
          <w:szCs w:val="22"/>
        </w:rPr>
      </w:pPr>
      <w:r>
        <w:rPr>
          <w:szCs w:val="22"/>
          <w:lang w:val="en-GB"/>
        </w:rPr>
        <w:t>Article 11</w:t>
      </w:r>
    </w:p>
    <w:p w:rsidR="008F1187" w:rsidRPr="006E0B96" w:rsidRDefault="008F1187" w:rsidP="002748A0">
      <w:pPr>
        <w:keepNext/>
        <w:ind w:left="360"/>
        <w:jc w:val="center"/>
        <w:rPr>
          <w:bCs/>
          <w:szCs w:val="22"/>
        </w:rPr>
      </w:pPr>
      <w:r>
        <w:rPr>
          <w:szCs w:val="22"/>
          <w:lang w:val="en-GB"/>
        </w:rPr>
        <w:t>(</w:t>
      </w:r>
      <w:proofErr w:type="gramStart"/>
      <w:r>
        <w:rPr>
          <w:szCs w:val="22"/>
          <w:lang w:val="en-GB"/>
        </w:rPr>
        <w:t>contractual</w:t>
      </w:r>
      <w:proofErr w:type="gramEnd"/>
      <w:r>
        <w:rPr>
          <w:szCs w:val="22"/>
          <w:lang w:val="en-GB"/>
        </w:rPr>
        <w:t xml:space="preserve"> commitments)</w:t>
      </w:r>
    </w:p>
    <w:p w:rsidR="008F1187" w:rsidRDefault="008F1187" w:rsidP="002748A0">
      <w:pPr>
        <w:pStyle w:val="Odstavekseznama"/>
        <w:keepNext/>
        <w:ind w:left="360"/>
        <w:jc w:val="right"/>
      </w:pPr>
    </w:p>
    <w:p w:rsidR="000F26F1" w:rsidRDefault="000F26F1" w:rsidP="002748A0">
      <w:pPr>
        <w:keepNext/>
      </w:pPr>
      <w:r>
        <w:rPr>
          <w:lang w:val="en-GB"/>
        </w:rPr>
        <w:t xml:space="preserve">When concluding a loan agreement a bank shall assess the adequacy of the contractual commitments to be contained in the agreement. The contractual commitments shall be clear, reasonable and feasible. In assessing the adequacy of individual contractual commitments the bank shall </w:t>
      </w:r>
      <w:r>
        <w:rPr>
          <w:i/>
          <w:iCs/>
          <w:lang w:val="en-GB"/>
        </w:rPr>
        <w:t xml:space="preserve">inter alia </w:t>
      </w:r>
      <w:r>
        <w:rPr>
          <w:lang w:val="en-GB"/>
        </w:rPr>
        <w:t>take account of the type and value of the transaction, the type and risk assessment of the debtor, the requisite information about the debtor, and contract law. When the bank is unable to include all of the contractual commitments that it usually uses in the agreement, it shall state the reasons in the credit file.</w:t>
      </w:r>
    </w:p>
    <w:p w:rsidR="00D85F02" w:rsidRDefault="00D85F02" w:rsidP="0031400B"/>
    <w:p w:rsidR="00007A35" w:rsidRDefault="00007A35" w:rsidP="0031400B"/>
    <w:p w:rsidR="00D85F02" w:rsidRPr="00AC57CD" w:rsidRDefault="00D85F02" w:rsidP="00007A35">
      <w:pPr>
        <w:pStyle w:val="Naslov1"/>
        <w:numPr>
          <w:ilvl w:val="0"/>
          <w:numId w:val="171"/>
        </w:numPr>
        <w:autoSpaceDE/>
        <w:autoSpaceDN/>
        <w:adjustRightInd/>
        <w:jc w:val="center"/>
        <w:rPr>
          <w:rFonts w:ascii="Times New Roman" w:hAnsi="Times New Roman" w:cs="Arial"/>
          <w:i w:val="0"/>
          <w:caps/>
          <w:kern w:val="32"/>
          <w:szCs w:val="22"/>
        </w:rPr>
      </w:pPr>
      <w:r>
        <w:rPr>
          <w:rFonts w:ascii="Times New Roman" w:hAnsi="Times New Roman" w:cs="Arial"/>
          <w:bCs/>
          <w:i w:val="0"/>
          <w:caps/>
          <w:kern w:val="32"/>
          <w:szCs w:val="22"/>
          <w:lang w:val="en-GB"/>
        </w:rPr>
        <w:t>MONITORING OF CREDIT RISK</w:t>
      </w:r>
    </w:p>
    <w:p w:rsidR="00D85F02" w:rsidRDefault="00D85F02" w:rsidP="00D85F02">
      <w:pPr>
        <w:autoSpaceDE w:val="0"/>
        <w:autoSpaceDN w:val="0"/>
        <w:adjustRightInd w:val="0"/>
      </w:pPr>
    </w:p>
    <w:p w:rsidR="00D85F02" w:rsidRPr="00241FDB" w:rsidRDefault="00D85F02" w:rsidP="004D0C7B">
      <w:pPr>
        <w:jc w:val="center"/>
        <w:rPr>
          <w:bCs/>
          <w:szCs w:val="22"/>
        </w:rPr>
      </w:pPr>
      <w:r>
        <w:rPr>
          <w:szCs w:val="22"/>
          <w:lang w:val="en-GB"/>
        </w:rPr>
        <w:t>Article 12</w:t>
      </w:r>
    </w:p>
    <w:p w:rsidR="00D85F02" w:rsidRDefault="00D85F02" w:rsidP="00D85F02">
      <w:pPr>
        <w:autoSpaceDE w:val="0"/>
        <w:autoSpaceDN w:val="0"/>
        <w:adjustRightInd w:val="0"/>
        <w:jc w:val="center"/>
      </w:pPr>
      <w:r>
        <w:rPr>
          <w:lang w:val="en-GB"/>
        </w:rPr>
        <w:t>(</w:t>
      </w:r>
      <w:proofErr w:type="gramStart"/>
      <w:r>
        <w:rPr>
          <w:lang w:val="en-GB"/>
        </w:rPr>
        <w:t>credit</w:t>
      </w:r>
      <w:proofErr w:type="gramEnd"/>
      <w:r>
        <w:rPr>
          <w:lang w:val="en-GB"/>
        </w:rPr>
        <w:t xml:space="preserve"> monitoring system)</w:t>
      </w:r>
    </w:p>
    <w:p w:rsidR="00D85F02" w:rsidRDefault="00D85F02" w:rsidP="00D85F02">
      <w:pPr>
        <w:autoSpaceDE w:val="0"/>
        <w:autoSpaceDN w:val="0"/>
        <w:adjustRightInd w:val="0"/>
      </w:pPr>
    </w:p>
    <w:p w:rsidR="00D85F02" w:rsidRPr="002A11A5" w:rsidRDefault="00D85F02" w:rsidP="00D85F02">
      <w:pPr>
        <w:pStyle w:val="Odstavekseznama"/>
        <w:numPr>
          <w:ilvl w:val="0"/>
          <w:numId w:val="117"/>
        </w:numPr>
        <w:ind w:left="360"/>
      </w:pPr>
      <w:r>
        <w:rPr>
          <w:lang w:val="en-GB"/>
        </w:rPr>
        <w:t>A bank shall put in place a clear and consistent organisational structure, policies, processes and bylaws with regard to the monitoring process in accordance with the adopted credit risk management strategy, and a clear segregation of duties between the monitoring process and the credit approval process.</w:t>
      </w:r>
    </w:p>
    <w:p w:rsidR="00D85F02" w:rsidRDefault="00D85F02" w:rsidP="00D85F02">
      <w:pPr>
        <w:pStyle w:val="Odstavekseznama"/>
        <w:ind w:left="360" w:firstLine="0"/>
      </w:pPr>
    </w:p>
    <w:p w:rsidR="00D85F02" w:rsidRPr="00780D9E" w:rsidRDefault="00D85F02" w:rsidP="00007A35">
      <w:pPr>
        <w:pStyle w:val="Odstavekseznama"/>
        <w:numPr>
          <w:ilvl w:val="0"/>
          <w:numId w:val="117"/>
        </w:numPr>
        <w:ind w:left="360"/>
      </w:pPr>
      <w:r>
        <w:rPr>
          <w:lang w:val="en-GB"/>
        </w:rPr>
        <w:t xml:space="preserve">The bank shall put in place a system of continual monitoring of the credit portfolio that includes analytical procedures and methodologies for assessing or measuring credit risk. The system shall provide relevant information about the structure and quality of the credit portfolio and the concentration of credit risk at the bank and also at the level of the banking group. </w:t>
      </w:r>
    </w:p>
    <w:p w:rsidR="00D85F02" w:rsidRDefault="00D85F02" w:rsidP="00007A35">
      <w:pPr>
        <w:pStyle w:val="Odstavekseznama"/>
        <w:ind w:left="360" w:firstLine="0"/>
      </w:pPr>
    </w:p>
    <w:p w:rsidR="00D85F02" w:rsidRPr="0031400B" w:rsidRDefault="00D85F02" w:rsidP="00007A35">
      <w:pPr>
        <w:pStyle w:val="Odstavekseznama"/>
        <w:numPr>
          <w:ilvl w:val="0"/>
          <w:numId w:val="117"/>
        </w:numPr>
        <w:ind w:left="360"/>
      </w:pPr>
      <w:r>
        <w:rPr>
          <w:lang w:val="en-GB"/>
        </w:rPr>
        <w:t xml:space="preserve">For the purposes of managing concentration risk in accordance with Article 163 of the ZBan-2, the bank shall put in place and maintain appropriate limits on exposure to credit risk. The limits shall include on-balance-sheet and off-balance-sheet exposures. </w:t>
      </w:r>
    </w:p>
    <w:p w:rsidR="00D85F02" w:rsidRDefault="00D85F02" w:rsidP="00007A35">
      <w:pPr>
        <w:pStyle w:val="Odstavekseznama"/>
        <w:ind w:left="360" w:firstLine="0"/>
      </w:pPr>
    </w:p>
    <w:p w:rsidR="00D85F02" w:rsidRPr="00354549" w:rsidRDefault="00D85F02" w:rsidP="00007A35">
      <w:pPr>
        <w:pStyle w:val="Odstavekseznama"/>
        <w:numPr>
          <w:ilvl w:val="0"/>
          <w:numId w:val="117"/>
        </w:numPr>
        <w:ind w:left="360"/>
      </w:pPr>
      <w:r>
        <w:rPr>
          <w:lang w:val="en-GB"/>
        </w:rPr>
        <w:t>An effective credit monitoring system shall:</w:t>
      </w:r>
    </w:p>
    <w:p w:rsidR="00D85F02" w:rsidRPr="00354549" w:rsidRDefault="00D85F02" w:rsidP="00D85F02">
      <w:pPr>
        <w:pStyle w:val="Odstavekseznama"/>
        <w:numPr>
          <w:ilvl w:val="0"/>
          <w:numId w:val="118"/>
        </w:numPr>
      </w:pPr>
      <w:r>
        <w:rPr>
          <w:lang w:val="en-GB"/>
        </w:rPr>
        <w:t>ensure that the bank is able to regularly monitor the debtor’s operations and its creditworthiness throughout the duration of the credit relationship,</w:t>
      </w:r>
    </w:p>
    <w:p w:rsidR="00D85F02" w:rsidRPr="00354549" w:rsidRDefault="00D85F02" w:rsidP="00D85F02">
      <w:pPr>
        <w:pStyle w:val="Odstavekseznama"/>
        <w:numPr>
          <w:ilvl w:val="0"/>
          <w:numId w:val="118"/>
        </w:numPr>
      </w:pPr>
      <w:r>
        <w:rPr>
          <w:lang w:val="en-GB"/>
        </w:rPr>
        <w:t>monitor the fulfilment of the conditions deriving from the loan agreement,</w:t>
      </w:r>
    </w:p>
    <w:p w:rsidR="00D85F02" w:rsidRPr="004D7363" w:rsidRDefault="00D85F02" w:rsidP="00D85F02">
      <w:pPr>
        <w:pStyle w:val="Odstavekseznama"/>
        <w:numPr>
          <w:ilvl w:val="0"/>
          <w:numId w:val="118"/>
        </w:numPr>
      </w:pPr>
      <w:r>
        <w:rPr>
          <w:lang w:val="en-GB"/>
        </w:rPr>
        <w:t>in the case of transaction loans, monitor the use of the approved funds for the agreed purposes,</w:t>
      </w:r>
    </w:p>
    <w:p w:rsidR="00D85F02" w:rsidRPr="00354549" w:rsidRDefault="00D85F02" w:rsidP="00D85F02">
      <w:pPr>
        <w:pStyle w:val="Odstavekseznama"/>
        <w:numPr>
          <w:ilvl w:val="0"/>
          <w:numId w:val="118"/>
        </w:numPr>
      </w:pPr>
      <w:r>
        <w:rPr>
          <w:lang w:val="en-GB"/>
        </w:rPr>
        <w:t>monitor the regularity of payments, and identify breaches of contractual obligations,</w:t>
      </w:r>
    </w:p>
    <w:p w:rsidR="00D85F02" w:rsidRDefault="00D85F02" w:rsidP="00D85F02">
      <w:pPr>
        <w:pStyle w:val="Odstavekseznama"/>
        <w:numPr>
          <w:ilvl w:val="0"/>
          <w:numId w:val="118"/>
        </w:numPr>
      </w:pPr>
      <w:r>
        <w:rPr>
          <w:lang w:val="en-GB"/>
        </w:rPr>
        <w:t>monitor the performance of the contractual commitments and record any breaches thereof, and monitor the enforcement of contractual sanctions in the event of breaches of the contractual commitments,</w:t>
      </w:r>
    </w:p>
    <w:p w:rsidR="00D85F02" w:rsidRDefault="00D85F02" w:rsidP="00D85F02">
      <w:pPr>
        <w:pStyle w:val="Odstavekseznama"/>
        <w:numPr>
          <w:ilvl w:val="0"/>
          <w:numId w:val="118"/>
        </w:numPr>
      </w:pPr>
      <w:r>
        <w:rPr>
          <w:lang w:val="en-GB"/>
        </w:rPr>
        <w:t>monitor the loan-to-value (LTV) ratio, and the coverage of the exposure by credit protection,</w:t>
      </w:r>
    </w:p>
    <w:p w:rsidR="00D85F02" w:rsidRDefault="00D85F02" w:rsidP="00D85F02">
      <w:pPr>
        <w:pStyle w:val="Odstavekseznama"/>
        <w:numPr>
          <w:ilvl w:val="0"/>
          <w:numId w:val="118"/>
        </w:numPr>
      </w:pPr>
      <w:r>
        <w:rPr>
          <w:lang w:val="en-GB"/>
        </w:rPr>
        <w:t>monitor the adequacy of the amount of value adjustments and provisions created,</w:t>
      </w:r>
    </w:p>
    <w:p w:rsidR="00D85F02" w:rsidRPr="00354549" w:rsidRDefault="00D85F02" w:rsidP="00D85F02">
      <w:pPr>
        <w:pStyle w:val="Odstavekseznama"/>
        <w:numPr>
          <w:ilvl w:val="0"/>
          <w:numId w:val="118"/>
        </w:numPr>
      </w:pPr>
      <w:r>
        <w:rPr>
          <w:lang w:val="en-GB"/>
        </w:rPr>
        <w:t>monitor concentration risk and any deviations from the limits referred to in the third paragraph of this article put in place,</w:t>
      </w:r>
    </w:p>
    <w:p w:rsidR="00D85F02" w:rsidRPr="00354549" w:rsidRDefault="00D85F02" w:rsidP="00D85F02">
      <w:pPr>
        <w:pStyle w:val="Odstavekseznama"/>
        <w:numPr>
          <w:ilvl w:val="0"/>
          <w:numId w:val="118"/>
        </w:numPr>
      </w:pPr>
      <w:r>
        <w:rPr>
          <w:lang w:val="en-GB"/>
        </w:rPr>
        <w:t>ensure the effective and timely identification of increased credit risk and problem credits,</w:t>
      </w:r>
    </w:p>
    <w:p w:rsidR="00D85F02" w:rsidRPr="00354549" w:rsidRDefault="00EC3093" w:rsidP="00D85F02">
      <w:pPr>
        <w:pStyle w:val="Odstavekseznama"/>
        <w:numPr>
          <w:ilvl w:val="0"/>
          <w:numId w:val="118"/>
        </w:numPr>
      </w:pPr>
      <w:r>
        <w:rPr>
          <w:lang w:val="en-GB"/>
        </w:rPr>
        <w:t>monitor the risk inherent in credit in foreign currencies.</w:t>
      </w:r>
    </w:p>
    <w:p w:rsidR="00D85F02" w:rsidRDefault="00D85F02" w:rsidP="00D85F02">
      <w:pPr>
        <w:pStyle w:val="Odstavekseznama"/>
        <w:ind w:left="360" w:firstLine="0"/>
      </w:pPr>
    </w:p>
    <w:p w:rsidR="00D85F02" w:rsidRPr="00370A9C" w:rsidRDefault="00D85F02" w:rsidP="00A91144">
      <w:pPr>
        <w:pStyle w:val="Odstavekseznama"/>
        <w:numPr>
          <w:ilvl w:val="0"/>
          <w:numId w:val="117"/>
        </w:numPr>
        <w:ind w:left="360"/>
      </w:pPr>
      <w:r>
        <w:rPr>
          <w:lang w:val="en-GB"/>
        </w:rPr>
        <w:t>The bank shall put in place and enforce internal controls and procedures to allow exceptions and deviations from policies, procedures and limits to be reported promptly to those responsible for taking action.</w:t>
      </w:r>
    </w:p>
    <w:p w:rsidR="00D85F02" w:rsidRDefault="00D85F02" w:rsidP="00A91144">
      <w:pPr>
        <w:pStyle w:val="Odstavekseznama"/>
        <w:ind w:left="360" w:firstLine="0"/>
      </w:pPr>
    </w:p>
    <w:p w:rsidR="00D85F02" w:rsidRPr="00780D9E" w:rsidRDefault="00D85F02" w:rsidP="00A91144">
      <w:pPr>
        <w:pStyle w:val="Odstavekseznama"/>
        <w:numPr>
          <w:ilvl w:val="0"/>
          <w:numId w:val="117"/>
        </w:numPr>
        <w:ind w:left="360"/>
      </w:pPr>
      <w:r>
        <w:rPr>
          <w:lang w:val="en-GB"/>
        </w:rPr>
        <w:t>In the assessment of individual credits and the credit portfolio, the bank shall take account of potential adverse changes in the future economic environment and shall periodically assess exposure to credit risk in extreme conditions (analysis of scenarios and stress tests).</w:t>
      </w:r>
    </w:p>
    <w:p w:rsidR="00D85F02" w:rsidRPr="008F1187" w:rsidRDefault="00D85F02" w:rsidP="0031400B"/>
    <w:p w:rsidR="00286E67" w:rsidRDefault="00286E67" w:rsidP="00D11133"/>
    <w:p w:rsidR="007D1BCC" w:rsidRDefault="00E62E3B" w:rsidP="00825768">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ASSIGNMENT OF DEBTORS AND EXPOSURES</w:t>
      </w:r>
    </w:p>
    <w:p w:rsidR="00E62E3B" w:rsidRPr="00A47BBB" w:rsidRDefault="00414CF4" w:rsidP="007D1BCC">
      <w:pPr>
        <w:pStyle w:val="Naslov1"/>
        <w:tabs>
          <w:tab w:val="clear" w:pos="0"/>
        </w:tabs>
        <w:ind w:left="840" w:firstLine="0"/>
        <w:jc w:val="center"/>
        <w:rPr>
          <w:rFonts w:ascii="Times New Roman" w:hAnsi="Times New Roman" w:cs="Arial"/>
          <w:i w:val="0"/>
          <w:caps/>
          <w:kern w:val="32"/>
          <w:szCs w:val="22"/>
        </w:rPr>
      </w:pPr>
      <w:r>
        <w:rPr>
          <w:rFonts w:ascii="Times New Roman" w:hAnsi="Times New Roman" w:cs="Arial"/>
          <w:bCs/>
          <w:i w:val="0"/>
          <w:caps/>
          <w:kern w:val="32"/>
          <w:szCs w:val="22"/>
          <w:lang w:val="en-GB"/>
        </w:rPr>
        <w:t>TO RATING GRADES</w:t>
      </w:r>
    </w:p>
    <w:p w:rsidR="00D52DBC" w:rsidRPr="00D52DBC" w:rsidRDefault="00D52DBC" w:rsidP="00D52DBC"/>
    <w:p w:rsidR="00D43312" w:rsidRPr="00241FDB" w:rsidRDefault="00D43312" w:rsidP="004D0C7B">
      <w:pPr>
        <w:jc w:val="center"/>
        <w:rPr>
          <w:bCs/>
          <w:szCs w:val="22"/>
        </w:rPr>
      </w:pPr>
      <w:r>
        <w:rPr>
          <w:szCs w:val="22"/>
          <w:lang w:val="en-GB"/>
        </w:rPr>
        <w:t>Article 13</w:t>
      </w:r>
    </w:p>
    <w:p w:rsidR="00D43312" w:rsidRPr="00FE7ECA" w:rsidRDefault="00D43312" w:rsidP="00D43312">
      <w:pPr>
        <w:jc w:val="center"/>
      </w:pPr>
      <w:r>
        <w:rPr>
          <w:lang w:val="en-GB"/>
        </w:rPr>
        <w:t>(</w:t>
      </w:r>
      <w:proofErr w:type="gramStart"/>
      <w:r>
        <w:rPr>
          <w:lang w:val="en-GB"/>
        </w:rPr>
        <w:t>assignment</w:t>
      </w:r>
      <w:proofErr w:type="gramEnd"/>
      <w:r>
        <w:rPr>
          <w:lang w:val="en-GB"/>
        </w:rPr>
        <w:t xml:space="preserve"> of debtors and exposures)</w:t>
      </w:r>
    </w:p>
    <w:p w:rsidR="00D43312" w:rsidRPr="00F83E0C" w:rsidRDefault="00D43312" w:rsidP="00D43312"/>
    <w:p w:rsidR="00D43312" w:rsidRPr="00A953AE" w:rsidRDefault="00D43312" w:rsidP="001B61EC">
      <w:pPr>
        <w:pStyle w:val="Odstavekseznama"/>
        <w:numPr>
          <w:ilvl w:val="0"/>
          <w:numId w:val="62"/>
        </w:numPr>
        <w:autoSpaceDE w:val="0"/>
        <w:autoSpaceDN w:val="0"/>
        <w:adjustRightInd w:val="0"/>
      </w:pPr>
      <w:r>
        <w:rPr>
          <w:lang w:val="en-GB"/>
        </w:rPr>
        <w:t>Within the framework of the credit approval and monitoring process, a bank shall assign a debtor or an exposure to a rating grade on the basis of clear credit assessment criteria. The criteria shall be sufficiently precise to allow employees in the credit approval and monitoring process to make the same interpretations and consistently assign debtors and exposures with similar credit risk to the same rating grades. The assignment methodology shall be based on statistical models or other methods, and shall take account of the requirements set out by this section.</w:t>
      </w:r>
    </w:p>
    <w:p w:rsidR="001B61EC" w:rsidRPr="00A953AE" w:rsidRDefault="001B61EC" w:rsidP="001B61EC">
      <w:pPr>
        <w:pStyle w:val="Odstavekseznama"/>
        <w:autoSpaceDE w:val="0"/>
        <w:autoSpaceDN w:val="0"/>
        <w:adjustRightInd w:val="0"/>
        <w:ind w:left="360" w:firstLine="0"/>
      </w:pPr>
    </w:p>
    <w:p w:rsidR="00D43312" w:rsidRPr="00A953AE" w:rsidRDefault="00D43312" w:rsidP="004D0C7B">
      <w:pPr>
        <w:jc w:val="center"/>
        <w:rPr>
          <w:bCs/>
          <w:szCs w:val="22"/>
        </w:rPr>
      </w:pPr>
      <w:r>
        <w:rPr>
          <w:szCs w:val="22"/>
          <w:lang w:val="en-GB"/>
        </w:rPr>
        <w:t>Article 14</w:t>
      </w:r>
    </w:p>
    <w:p w:rsidR="00D43312" w:rsidRPr="00A953AE" w:rsidRDefault="00D43312" w:rsidP="00D43312">
      <w:pPr>
        <w:autoSpaceDE w:val="0"/>
        <w:autoSpaceDN w:val="0"/>
        <w:adjustRightInd w:val="0"/>
        <w:jc w:val="center"/>
      </w:pPr>
      <w:r>
        <w:rPr>
          <w:lang w:val="en-GB"/>
        </w:rPr>
        <w:t>(</w:t>
      </w:r>
      <w:proofErr w:type="gramStart"/>
      <w:r>
        <w:rPr>
          <w:color w:val="000000" w:themeColor="text1"/>
          <w:lang w:val="en-GB"/>
        </w:rPr>
        <w:t>assignment</w:t>
      </w:r>
      <w:proofErr w:type="gramEnd"/>
      <w:r>
        <w:rPr>
          <w:color w:val="000000" w:themeColor="text1"/>
          <w:lang w:val="en-GB"/>
        </w:rPr>
        <w:t xml:space="preserve"> of debtor in case of group of connected clients</w:t>
      </w:r>
      <w:r>
        <w:rPr>
          <w:lang w:val="en-GB"/>
        </w:rPr>
        <w:t>)</w:t>
      </w:r>
    </w:p>
    <w:p w:rsidR="00D43312" w:rsidRPr="00A953AE" w:rsidRDefault="00D43312" w:rsidP="00D43312">
      <w:pPr>
        <w:ind w:firstLine="360"/>
      </w:pPr>
    </w:p>
    <w:p w:rsidR="00D43312" w:rsidRPr="00A953AE" w:rsidRDefault="00D43312" w:rsidP="00524CFB">
      <w:pPr>
        <w:pStyle w:val="Odstavekseznama"/>
        <w:numPr>
          <w:ilvl w:val="0"/>
          <w:numId w:val="162"/>
        </w:numPr>
        <w:autoSpaceDE w:val="0"/>
        <w:autoSpaceDN w:val="0"/>
        <w:adjustRightInd w:val="0"/>
      </w:pPr>
      <w:r>
        <w:rPr>
          <w:lang w:val="en-GB"/>
        </w:rPr>
        <w:t xml:space="preserve">In the process of assigning a debtor that is part of a group of connected clients to the appropriate rating grades, a bank shall include information on the existence of the group of connected clients such that the assignment of individual persons in the group of connected clients is consistent with the structure of the group. In so doing the bank shall at least take account of the type of links between entities in the group. </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Pr>
          <w:lang w:val="en-GB"/>
        </w:rPr>
        <w:t>The bank shall put in place procedures and processes that ensure that in the event of the default of an individual client in the group in accordance with Article 178 of Regulation (EU) No 575/2013 it reviews and defines the impact of the default on the credit assessments of other persons in the group.</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Pr>
          <w:lang w:val="en-GB"/>
        </w:rPr>
        <w:t xml:space="preserve">Cases in which debtors may be assigned higher credit assessments than the parent undertaking in the group shall be defined in advance by the bank. Decisions on cases of this type and any other cases shall be documented and appropriately substantiated by the bank. </w:t>
      </w:r>
    </w:p>
    <w:p w:rsidR="00D43312" w:rsidRPr="00A953AE" w:rsidRDefault="00D43312" w:rsidP="00D43312">
      <w:pPr>
        <w:ind w:left="284"/>
        <w:rPr>
          <w:bCs/>
          <w:szCs w:val="22"/>
        </w:rPr>
      </w:pPr>
    </w:p>
    <w:p w:rsidR="00D43312" w:rsidRPr="00A953AE" w:rsidRDefault="00D43312" w:rsidP="004D0C7B">
      <w:pPr>
        <w:jc w:val="center"/>
        <w:rPr>
          <w:bCs/>
          <w:szCs w:val="22"/>
        </w:rPr>
      </w:pPr>
      <w:r>
        <w:rPr>
          <w:szCs w:val="22"/>
          <w:lang w:val="en-GB"/>
        </w:rPr>
        <w:t>Article 15</w:t>
      </w:r>
    </w:p>
    <w:p w:rsidR="00D43312" w:rsidRPr="00A953AE" w:rsidRDefault="00D43312" w:rsidP="00D43312">
      <w:pPr>
        <w:ind w:left="284"/>
        <w:jc w:val="center"/>
        <w:rPr>
          <w:bCs/>
          <w:szCs w:val="22"/>
        </w:rPr>
      </w:pPr>
      <w:r>
        <w:rPr>
          <w:szCs w:val="22"/>
          <w:lang w:val="en-GB"/>
        </w:rPr>
        <w:t>(</w:t>
      </w:r>
      <w:proofErr w:type="gramStart"/>
      <w:r>
        <w:rPr>
          <w:szCs w:val="22"/>
          <w:lang w:val="en-GB"/>
        </w:rPr>
        <w:t>rating</w:t>
      </w:r>
      <w:proofErr w:type="gramEnd"/>
      <w:r>
        <w:rPr>
          <w:szCs w:val="22"/>
          <w:lang w:val="en-GB"/>
        </w:rPr>
        <w:t xml:space="preserve"> systems)</w:t>
      </w:r>
    </w:p>
    <w:p w:rsidR="00D43312" w:rsidRPr="00A953AE" w:rsidRDefault="00D43312" w:rsidP="00D43312">
      <w:pPr>
        <w:ind w:left="284"/>
        <w:jc w:val="center"/>
        <w:rPr>
          <w:bCs/>
          <w:szCs w:val="22"/>
        </w:rPr>
      </w:pPr>
    </w:p>
    <w:p w:rsidR="00D43312" w:rsidRPr="00A953AE" w:rsidRDefault="00D43312" w:rsidP="004C5E67">
      <w:pPr>
        <w:pStyle w:val="Odstavekseznama"/>
        <w:numPr>
          <w:ilvl w:val="0"/>
          <w:numId w:val="109"/>
        </w:numPr>
        <w:rPr>
          <w:bCs/>
        </w:rPr>
      </w:pPr>
      <w:r>
        <w:rPr>
          <w:lang w:val="en-GB"/>
        </w:rPr>
        <w:t xml:space="preserve">A bank shall put in place rating systems that provide for the evaluation of credit exposures and their assignment to appropriate rating grades. </w:t>
      </w:r>
    </w:p>
    <w:p w:rsidR="00D43312" w:rsidRPr="00A953AE" w:rsidRDefault="00D43312" w:rsidP="00D43312">
      <w:pPr>
        <w:pStyle w:val="Odstavekseznama"/>
        <w:ind w:left="360" w:firstLine="0"/>
        <w:rPr>
          <w:bCs/>
        </w:rPr>
      </w:pPr>
    </w:p>
    <w:p w:rsidR="00D43312" w:rsidRPr="00A953AE" w:rsidRDefault="00B97F5C" w:rsidP="004C5E67">
      <w:pPr>
        <w:pStyle w:val="Odstavekseznama"/>
        <w:numPr>
          <w:ilvl w:val="0"/>
          <w:numId w:val="109"/>
        </w:numPr>
        <w:rPr>
          <w:bCs/>
        </w:rPr>
      </w:pPr>
      <w:r>
        <w:rPr>
          <w:lang w:val="en-GB"/>
        </w:rPr>
        <w:t xml:space="preserve">The bank shall put in place rating systems that suit the attributes of individual portfolios to ensure that material changes in individual portfolios are reflected in a change in the credit risk assessment.  </w:t>
      </w:r>
    </w:p>
    <w:p w:rsidR="00D43312" w:rsidRPr="00A953AE" w:rsidRDefault="00D43312" w:rsidP="00D43312">
      <w:pPr>
        <w:pStyle w:val="Odstavekseznama"/>
        <w:rPr>
          <w:bCs/>
        </w:rPr>
      </w:pPr>
    </w:p>
    <w:p w:rsidR="00D43312" w:rsidRPr="00A953AE" w:rsidRDefault="00D43312" w:rsidP="004C5E67">
      <w:pPr>
        <w:pStyle w:val="Odstavekseznama"/>
        <w:numPr>
          <w:ilvl w:val="0"/>
          <w:numId w:val="109"/>
        </w:numPr>
        <w:rPr>
          <w:bCs/>
        </w:rPr>
      </w:pPr>
      <w:r>
        <w:rPr>
          <w:lang w:val="en-GB"/>
        </w:rPr>
        <w:t>The bank shall document material elements of the structure and functioning of internal rating systems, including portfolio differentiation, rating criteria, the responsibilities of parties undertaking assessment, the frequency of assignment reviews, and management oversight of the rating system.</w:t>
      </w:r>
    </w:p>
    <w:p w:rsidR="00D43312" w:rsidRPr="00A953AE" w:rsidRDefault="00D43312" w:rsidP="00D43312">
      <w:pPr>
        <w:pStyle w:val="Odstavekseznama"/>
        <w:rPr>
          <w:bCs/>
        </w:rPr>
      </w:pPr>
    </w:p>
    <w:p w:rsidR="00D43312" w:rsidRPr="00A953AE" w:rsidRDefault="00D43312" w:rsidP="004D0C7B">
      <w:pPr>
        <w:keepNext/>
        <w:jc w:val="center"/>
        <w:rPr>
          <w:bCs/>
          <w:szCs w:val="22"/>
        </w:rPr>
      </w:pPr>
      <w:bookmarkStart w:id="1" w:name="_Ref491784990"/>
      <w:r>
        <w:rPr>
          <w:szCs w:val="22"/>
          <w:lang w:val="en-GB"/>
        </w:rPr>
        <w:t>Article 16</w:t>
      </w:r>
      <w:bookmarkEnd w:id="1"/>
    </w:p>
    <w:p w:rsidR="00D43312" w:rsidRDefault="00D43312" w:rsidP="008A27B1">
      <w:pPr>
        <w:keepNext/>
        <w:autoSpaceDE w:val="0"/>
        <w:autoSpaceDN w:val="0"/>
        <w:adjustRightInd w:val="0"/>
        <w:jc w:val="center"/>
      </w:pPr>
      <w:r>
        <w:rPr>
          <w:lang w:val="en-GB"/>
        </w:rPr>
        <w:t>(</w:t>
      </w:r>
      <w:proofErr w:type="gramStart"/>
      <w:r>
        <w:rPr>
          <w:color w:val="000000" w:themeColor="text1"/>
          <w:lang w:val="en-GB"/>
        </w:rPr>
        <w:t>consideration</w:t>
      </w:r>
      <w:proofErr w:type="gramEnd"/>
      <w:r>
        <w:rPr>
          <w:color w:val="000000" w:themeColor="text1"/>
          <w:lang w:val="en-GB"/>
        </w:rPr>
        <w:t xml:space="preserve"> of relevant and up-to-date information</w:t>
      </w:r>
      <w:r>
        <w:rPr>
          <w:lang w:val="en-GB"/>
        </w:rPr>
        <w:t>)</w:t>
      </w:r>
    </w:p>
    <w:p w:rsidR="00D43312" w:rsidRDefault="00D43312" w:rsidP="008A27B1">
      <w:pPr>
        <w:pStyle w:val="Odstavekseznama"/>
        <w:keepNext/>
      </w:pPr>
    </w:p>
    <w:p w:rsidR="00D43312" w:rsidRDefault="00D43312" w:rsidP="008A27B1">
      <w:pPr>
        <w:pStyle w:val="Odstavekseznama"/>
        <w:keepNext/>
        <w:numPr>
          <w:ilvl w:val="0"/>
          <w:numId w:val="60"/>
        </w:numPr>
        <w:autoSpaceDE w:val="0"/>
        <w:autoSpaceDN w:val="0"/>
        <w:adjustRightInd w:val="0"/>
      </w:pPr>
      <w:r>
        <w:rPr>
          <w:lang w:val="en-GB"/>
        </w:rPr>
        <w:t>A bank shall put in place procedures, mechanisms and criteria for obtaining all appropriate, currently available and up-to-date quantitative and qualitative information about the debtor and the exposure that is relevant to credit processes and rating systems.</w:t>
      </w:r>
    </w:p>
    <w:p w:rsidR="00D43312" w:rsidRDefault="00D43312" w:rsidP="00D43312">
      <w:pPr>
        <w:pStyle w:val="Odstavekseznama"/>
        <w:autoSpaceDE w:val="0"/>
        <w:autoSpaceDN w:val="0"/>
        <w:adjustRightInd w:val="0"/>
        <w:ind w:left="360" w:firstLine="0"/>
      </w:pPr>
    </w:p>
    <w:p w:rsidR="00D43312" w:rsidRDefault="00D43312" w:rsidP="00B9647A">
      <w:pPr>
        <w:pStyle w:val="Odstavekseznama"/>
        <w:numPr>
          <w:ilvl w:val="0"/>
          <w:numId w:val="60"/>
        </w:numPr>
        <w:autoSpaceDE w:val="0"/>
        <w:autoSpaceDN w:val="0"/>
        <w:adjustRightInd w:val="0"/>
      </w:pPr>
      <w:r>
        <w:rPr>
          <w:lang w:val="en-GB"/>
        </w:rPr>
        <w:t>In the event that information is deficient, missing or out-of-date, the bank shall apply an appropriate measure of conservativeness in assigning debtors or exposures.</w:t>
      </w:r>
    </w:p>
    <w:p w:rsidR="00D43312" w:rsidRDefault="00D43312" w:rsidP="00B9647A">
      <w:pPr>
        <w:pStyle w:val="Odstavekseznama"/>
        <w:autoSpaceDE w:val="0"/>
        <w:autoSpaceDN w:val="0"/>
        <w:adjustRightInd w:val="0"/>
        <w:ind w:left="360" w:firstLine="0"/>
      </w:pPr>
    </w:p>
    <w:p w:rsidR="00D43312" w:rsidRPr="00654B7C" w:rsidRDefault="00D43312" w:rsidP="00D43312">
      <w:pPr>
        <w:pStyle w:val="Odstavekseznama"/>
        <w:numPr>
          <w:ilvl w:val="0"/>
          <w:numId w:val="60"/>
        </w:numPr>
        <w:autoSpaceDE w:val="0"/>
        <w:autoSpaceDN w:val="0"/>
        <w:adjustRightInd w:val="0"/>
      </w:pPr>
      <w:r>
        <w:rPr>
          <w:lang w:val="en-GB"/>
        </w:rPr>
        <w:t>When external credit assessments are the bank’s main criterion in the assignment of debtors or exposures to rating grades, the bank shall also take account of other relevant information set out in its assignment methodology.</w:t>
      </w:r>
    </w:p>
    <w:p w:rsidR="00D43312" w:rsidRPr="00A60B6E" w:rsidRDefault="00D43312" w:rsidP="00D43312">
      <w:pPr>
        <w:pStyle w:val="Odstavekseznama"/>
        <w:rPr>
          <w:highlight w:val="yellow"/>
        </w:rPr>
      </w:pPr>
    </w:p>
    <w:p w:rsidR="00D43312" w:rsidRPr="001D4BAE" w:rsidRDefault="00D43312" w:rsidP="00654B7C">
      <w:pPr>
        <w:pStyle w:val="Odstavekseznama"/>
        <w:numPr>
          <w:ilvl w:val="0"/>
          <w:numId w:val="60"/>
        </w:numPr>
        <w:autoSpaceDE w:val="0"/>
        <w:autoSpaceDN w:val="0"/>
        <w:adjustRightInd w:val="0"/>
      </w:pPr>
      <w:r>
        <w:rPr>
          <w:lang w:val="en-GB"/>
        </w:rPr>
        <w:t>The bank shall review the appropriateness of the assignment of individual debtors and exposures at least once a year, and shall adjust them as appropriate. The bank shall undertake a new assignment if it obtains material information about the debtor or exposure. The bank shall specifically set out the criteria for the more frequent review of high-risk debtors or problem exposures.</w:t>
      </w:r>
    </w:p>
    <w:p w:rsidR="00A04C33" w:rsidRDefault="00A04C33" w:rsidP="00DE52E0">
      <w:pPr>
        <w:pStyle w:val="Odstavekseznama"/>
      </w:pPr>
    </w:p>
    <w:p w:rsidR="00D43312" w:rsidRPr="00241FDB" w:rsidRDefault="00D43312" w:rsidP="004D0C7B">
      <w:pPr>
        <w:jc w:val="center"/>
        <w:rPr>
          <w:bCs/>
          <w:szCs w:val="22"/>
        </w:rPr>
      </w:pPr>
      <w:r>
        <w:rPr>
          <w:szCs w:val="22"/>
          <w:lang w:val="en-GB"/>
        </w:rPr>
        <w:t>Article 17</w:t>
      </w:r>
    </w:p>
    <w:p w:rsidR="00D43312" w:rsidRDefault="00D43312" w:rsidP="00D43312">
      <w:pPr>
        <w:autoSpaceDE w:val="0"/>
        <w:autoSpaceDN w:val="0"/>
        <w:adjustRightInd w:val="0"/>
        <w:jc w:val="center"/>
      </w:pPr>
      <w:r>
        <w:rPr>
          <w:lang w:val="en-GB"/>
        </w:rPr>
        <w:t>(</w:t>
      </w:r>
      <w:proofErr w:type="gramStart"/>
      <w:r>
        <w:rPr>
          <w:color w:val="000000" w:themeColor="text1"/>
          <w:lang w:val="en-GB"/>
        </w:rPr>
        <w:t>adjustment</w:t>
      </w:r>
      <w:proofErr w:type="gramEnd"/>
      <w:r>
        <w:rPr>
          <w:color w:val="000000" w:themeColor="text1"/>
          <w:lang w:val="en-GB"/>
        </w:rPr>
        <w:t xml:space="preserve"> of credit assessment</w:t>
      </w:r>
      <w:r>
        <w:rPr>
          <w:lang w:val="en-GB"/>
        </w:rPr>
        <w:t>)</w:t>
      </w:r>
    </w:p>
    <w:p w:rsidR="00D43312" w:rsidRDefault="00D43312" w:rsidP="00D43312">
      <w:pPr>
        <w:ind w:firstLine="360"/>
      </w:pPr>
    </w:p>
    <w:p w:rsidR="00D43312" w:rsidRPr="001D4BAE" w:rsidRDefault="00D43312" w:rsidP="00D43312">
      <w:pPr>
        <w:pStyle w:val="Odstavekseznama"/>
        <w:numPr>
          <w:ilvl w:val="0"/>
          <w:numId w:val="61"/>
        </w:numPr>
        <w:autoSpaceDE w:val="0"/>
        <w:autoSpaceDN w:val="0"/>
        <w:adjustRightInd w:val="0"/>
      </w:pPr>
      <w:r>
        <w:rPr>
          <w:lang w:val="en-GB"/>
        </w:rPr>
        <w:t xml:space="preserve">When assigning debtors or exposures to rating grades, a bank shall clearly define the grounds and ranges in which an adjustment of the credit assessment is allowed, and in which phase of the assignment process an adjustment may be undertaken. </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Pr>
          <w:lang w:val="en-GB"/>
        </w:rPr>
        <w:t>All adjustments of credit assessments shall be clearly and transparently documented and substantiated.</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Pr>
          <w:lang w:val="en-GB"/>
        </w:rPr>
        <w:t>The bank shall regularly monitor the number of adjustments of credit assessments and the grounds therefor, and shall regularly review the reliability of the adjustment process and consequently the functioning of the rating system.</w:t>
      </w:r>
    </w:p>
    <w:p w:rsidR="00D43312" w:rsidRDefault="00D43312" w:rsidP="00D43312">
      <w:pPr>
        <w:ind w:firstLine="360"/>
      </w:pPr>
    </w:p>
    <w:p w:rsidR="00D43312" w:rsidRPr="00241FDB" w:rsidRDefault="00D43312" w:rsidP="004D0C7B">
      <w:pPr>
        <w:jc w:val="center"/>
        <w:rPr>
          <w:bCs/>
          <w:szCs w:val="22"/>
        </w:rPr>
      </w:pPr>
      <w:r>
        <w:rPr>
          <w:szCs w:val="22"/>
          <w:lang w:val="en-GB"/>
        </w:rPr>
        <w:t>Article 18</w:t>
      </w:r>
    </w:p>
    <w:p w:rsidR="00D43312" w:rsidRDefault="00D43312" w:rsidP="00D43312">
      <w:pPr>
        <w:autoSpaceDE w:val="0"/>
        <w:autoSpaceDN w:val="0"/>
        <w:adjustRightInd w:val="0"/>
        <w:jc w:val="center"/>
      </w:pPr>
      <w:r>
        <w:rPr>
          <w:lang w:val="en-GB"/>
        </w:rPr>
        <w:t>(</w:t>
      </w:r>
      <w:proofErr w:type="gramStart"/>
      <w:r>
        <w:rPr>
          <w:color w:val="000000" w:themeColor="text1"/>
          <w:lang w:val="en-GB"/>
        </w:rPr>
        <w:t>requirements</w:t>
      </w:r>
      <w:proofErr w:type="gramEnd"/>
      <w:r>
        <w:rPr>
          <w:color w:val="000000" w:themeColor="text1"/>
          <w:lang w:val="en-GB"/>
        </w:rPr>
        <w:t xml:space="preserve"> with regard to rating models</w:t>
      </w:r>
      <w:r>
        <w:rPr>
          <w:lang w:val="en-GB"/>
        </w:rPr>
        <w:t>)</w:t>
      </w:r>
    </w:p>
    <w:p w:rsidR="00D43312" w:rsidRDefault="00D43312" w:rsidP="00D43312">
      <w:pPr>
        <w:ind w:firstLine="360"/>
      </w:pPr>
    </w:p>
    <w:p w:rsidR="00D43312" w:rsidRPr="005A3E7A" w:rsidRDefault="009254EB" w:rsidP="00D43312">
      <w:pPr>
        <w:pStyle w:val="Odstavekseznama"/>
        <w:numPr>
          <w:ilvl w:val="0"/>
          <w:numId w:val="66"/>
        </w:numPr>
        <w:autoSpaceDE w:val="0"/>
        <w:autoSpaceDN w:val="0"/>
        <w:adjustRightInd w:val="0"/>
      </w:pPr>
      <w:r>
        <w:rPr>
          <w:lang w:val="en-GB"/>
        </w:rPr>
        <w:t>In the use of rating models for assigning exposures to rating grades, a bank shall put in place a process for collecting and evaluating quantitative and qualitative data inputs into the model, including an assessment of the accuracy, completeness and appropriateness of the data. The bank shall prove that the data used to build the model is representative of the population of the bank’s actual debtors or exposures.</w:t>
      </w:r>
    </w:p>
    <w:p w:rsidR="003F7C5C" w:rsidRDefault="003F7C5C" w:rsidP="003F7C5C">
      <w:pPr>
        <w:pStyle w:val="Odstavekseznama"/>
        <w:autoSpaceDE w:val="0"/>
        <w:autoSpaceDN w:val="0"/>
        <w:adjustRightInd w:val="0"/>
        <w:ind w:left="360" w:firstLine="0"/>
      </w:pPr>
    </w:p>
    <w:p w:rsidR="00D43312" w:rsidRPr="00FE7ECA" w:rsidRDefault="00D43312" w:rsidP="00D43312">
      <w:pPr>
        <w:pStyle w:val="Odstavekseznama"/>
        <w:numPr>
          <w:ilvl w:val="0"/>
          <w:numId w:val="66"/>
        </w:numPr>
        <w:autoSpaceDE w:val="0"/>
        <w:autoSpaceDN w:val="0"/>
        <w:adjustRightInd w:val="0"/>
        <w:rPr>
          <w:vanish/>
          <w:specVanish/>
        </w:rPr>
      </w:pPr>
      <w:r>
        <w:rPr>
          <w:lang w:val="en-GB"/>
        </w:rPr>
        <w:t xml:space="preserve">The bank shall complement the statistical model by human judgement to review the appropriateness of the assignment of debtors and exposures with regard to the results of the model. All relevant information not considered by the model shall be taken into account in the final assignment of the debtor or exposure on the basis of human judgment. The bank shall document how human judgement and model results are to be combined. </w:t>
      </w:r>
    </w:p>
    <w:p w:rsidR="003F7C5C" w:rsidRDefault="003F7C5C" w:rsidP="00D43312">
      <w:pPr>
        <w:pStyle w:val="Odstavekseznama"/>
        <w:autoSpaceDE w:val="0"/>
        <w:autoSpaceDN w:val="0"/>
        <w:adjustRightInd w:val="0"/>
        <w:ind w:left="360" w:firstLine="0"/>
      </w:pPr>
    </w:p>
    <w:p w:rsidR="00D43312" w:rsidRDefault="00D43312" w:rsidP="00D43312">
      <w:pPr>
        <w:pStyle w:val="Odstavekseznama"/>
        <w:autoSpaceDE w:val="0"/>
        <w:autoSpaceDN w:val="0"/>
        <w:adjustRightInd w:val="0"/>
        <w:ind w:left="360" w:firstLine="0"/>
      </w:pPr>
      <w:r>
        <w:rPr>
          <w:lang w:val="en-GB"/>
        </w:rPr>
        <w:t xml:space="preserve"> </w:t>
      </w:r>
    </w:p>
    <w:p w:rsidR="00D43312" w:rsidRDefault="00D43312" w:rsidP="00D43312">
      <w:pPr>
        <w:pStyle w:val="Odstavekseznama"/>
        <w:numPr>
          <w:ilvl w:val="0"/>
          <w:numId w:val="66"/>
        </w:numPr>
        <w:autoSpaceDE w:val="0"/>
        <w:autoSpaceDN w:val="0"/>
        <w:adjustRightInd w:val="0"/>
      </w:pPr>
      <w:r>
        <w:rPr>
          <w:lang w:val="en-GB"/>
        </w:rPr>
        <w:t xml:space="preserve">The bank shall prove that the model has good predictive power, and is as impartial as possible.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6"/>
        </w:numPr>
        <w:autoSpaceDE w:val="0"/>
        <w:autoSpaceDN w:val="0"/>
        <w:adjustRightInd w:val="0"/>
      </w:pPr>
      <w:r>
        <w:rPr>
          <w:lang w:val="en-GB"/>
        </w:rPr>
        <w:t>A bank that uses an external model or parts of an external model for assignment shall also take account of the following requirements:</w:t>
      </w:r>
    </w:p>
    <w:p w:rsidR="00D43312" w:rsidRPr="00F83E0C" w:rsidRDefault="00D43312" w:rsidP="002738FA">
      <w:pPr>
        <w:pStyle w:val="Odstavekseznama"/>
        <w:numPr>
          <w:ilvl w:val="0"/>
          <w:numId w:val="149"/>
        </w:numPr>
      </w:pPr>
      <w:r>
        <w:rPr>
          <w:lang w:val="en-GB"/>
        </w:rPr>
        <w:t>users shall be appropriately trained in the use of the model,</w:t>
      </w:r>
    </w:p>
    <w:p w:rsidR="00D43312" w:rsidRPr="00F83E0C" w:rsidRDefault="00D43312" w:rsidP="002738FA">
      <w:pPr>
        <w:pStyle w:val="Odstavekseznama"/>
        <w:numPr>
          <w:ilvl w:val="0"/>
          <w:numId w:val="149"/>
        </w:numPr>
      </w:pPr>
      <w:r>
        <w:rPr>
          <w:lang w:val="en-GB"/>
        </w:rPr>
        <w:t>in-house instructors shall be available,</w:t>
      </w:r>
    </w:p>
    <w:p w:rsidR="00D43312" w:rsidRPr="00F83E0C" w:rsidRDefault="00D43312" w:rsidP="002738FA">
      <w:pPr>
        <w:pStyle w:val="Odstavekseznama"/>
        <w:numPr>
          <w:ilvl w:val="0"/>
          <w:numId w:val="149"/>
        </w:numPr>
      </w:pPr>
      <w:r>
        <w:rPr>
          <w:lang w:val="en-GB"/>
        </w:rPr>
        <w:t>a plan for ensuring confirmation of the suitability of the external model shall be drawn up,</w:t>
      </w:r>
    </w:p>
    <w:p w:rsidR="00D43312" w:rsidRPr="00F83E0C" w:rsidRDefault="00D43312" w:rsidP="002738FA">
      <w:pPr>
        <w:pStyle w:val="Odstavekseznama"/>
        <w:numPr>
          <w:ilvl w:val="0"/>
          <w:numId w:val="149"/>
        </w:numPr>
      </w:pPr>
      <w:r>
        <w:rPr>
          <w:lang w:val="en-GB"/>
        </w:rPr>
        <w:t>the ongoing future development of the model, where necessary, shall be ensured,</w:t>
      </w:r>
    </w:p>
    <w:p w:rsidR="00D43312" w:rsidRPr="00F83E0C" w:rsidRDefault="00D43312" w:rsidP="002738FA">
      <w:pPr>
        <w:pStyle w:val="Odstavekseznama"/>
        <w:numPr>
          <w:ilvl w:val="0"/>
          <w:numId w:val="149"/>
        </w:numPr>
      </w:pPr>
      <w:r>
        <w:rPr>
          <w:lang w:val="en-GB"/>
        </w:rPr>
        <w:t>the possibility of assessing the performance of the model and, when necessary, making adjustments, even when the external provider ceases to provide support or in similar cases, shall be ensured.</w:t>
      </w:r>
    </w:p>
    <w:p w:rsidR="00D43312" w:rsidRPr="00543F6A" w:rsidRDefault="00D43312" w:rsidP="00436F13">
      <w:pPr>
        <w:pStyle w:val="Odstavekseznama"/>
        <w:keepNext/>
        <w:autoSpaceDE w:val="0"/>
        <w:autoSpaceDN w:val="0"/>
        <w:adjustRightInd w:val="0"/>
        <w:ind w:left="360" w:firstLine="0"/>
      </w:pPr>
    </w:p>
    <w:p w:rsidR="00D43312" w:rsidRPr="00241FDB" w:rsidRDefault="003A5CB7" w:rsidP="004D0C7B">
      <w:pPr>
        <w:keepNext/>
        <w:ind w:left="284"/>
        <w:jc w:val="center"/>
        <w:rPr>
          <w:bCs/>
          <w:szCs w:val="22"/>
        </w:rPr>
      </w:pPr>
      <w:r>
        <w:rPr>
          <w:szCs w:val="22"/>
          <w:lang w:val="en-GB"/>
        </w:rPr>
        <w:t>Article 19</w:t>
      </w:r>
    </w:p>
    <w:p w:rsidR="00D43312" w:rsidRDefault="00D43312" w:rsidP="00436F13">
      <w:pPr>
        <w:keepNext/>
        <w:autoSpaceDE w:val="0"/>
        <w:autoSpaceDN w:val="0"/>
        <w:adjustRightInd w:val="0"/>
        <w:jc w:val="center"/>
      </w:pPr>
      <w:r>
        <w:rPr>
          <w:lang w:val="en-GB"/>
        </w:rPr>
        <w:t>(</w:t>
      </w:r>
      <w:proofErr w:type="gramStart"/>
      <w:r>
        <w:rPr>
          <w:color w:val="000000" w:themeColor="text1"/>
          <w:lang w:val="en-GB"/>
        </w:rPr>
        <w:t>documentation</w:t>
      </w:r>
      <w:proofErr w:type="gramEnd"/>
      <w:r>
        <w:rPr>
          <w:lang w:val="en-GB"/>
        </w:rPr>
        <w:t>)</w:t>
      </w:r>
    </w:p>
    <w:p w:rsidR="00D43312" w:rsidRDefault="00D43312" w:rsidP="00436F13">
      <w:pPr>
        <w:pStyle w:val="Odstavekseznama"/>
        <w:keepNext/>
        <w:autoSpaceDE w:val="0"/>
        <w:autoSpaceDN w:val="0"/>
        <w:adjustRightInd w:val="0"/>
        <w:ind w:left="360" w:firstLine="0"/>
      </w:pPr>
    </w:p>
    <w:p w:rsidR="00D43312" w:rsidRPr="00F83E0C" w:rsidRDefault="00D43312" w:rsidP="00436F13">
      <w:pPr>
        <w:pStyle w:val="Odstavekseznama"/>
        <w:keepNext/>
        <w:numPr>
          <w:ilvl w:val="0"/>
          <w:numId w:val="68"/>
        </w:numPr>
      </w:pPr>
      <w:r>
        <w:rPr>
          <w:lang w:val="en-GB"/>
        </w:rPr>
        <w:t xml:space="preserve">A bank shall document the reasons for selecting qualitative and quantitative criteria for assignment, and analysis that supports such a selection. The bank shall document all major changes in the assignment process. The organisation of the assignment process shall also be documented, including the internal control system in this area.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8"/>
        </w:numPr>
      </w:pPr>
      <w:r>
        <w:rPr>
          <w:lang w:val="en-GB"/>
        </w:rPr>
        <w:t>The bank shall formulate and document a model development methodology encompassing at least the following:</w:t>
      </w:r>
    </w:p>
    <w:p w:rsidR="00D43312" w:rsidRDefault="00D43312" w:rsidP="009E6653">
      <w:pPr>
        <w:pStyle w:val="Odstavekseznama"/>
        <w:numPr>
          <w:ilvl w:val="0"/>
          <w:numId w:val="111"/>
        </w:numPr>
      </w:pPr>
      <w:r>
        <w:rPr>
          <w:lang w:val="en-GB"/>
        </w:rPr>
        <w:t>the appropriateness of the model with regard to the attributes of the portfolio for which it is being used,</w:t>
      </w:r>
    </w:p>
    <w:p w:rsidR="00D43312" w:rsidRDefault="00D43312" w:rsidP="009E6653">
      <w:pPr>
        <w:pStyle w:val="Odstavekseznama"/>
        <w:numPr>
          <w:ilvl w:val="0"/>
          <w:numId w:val="111"/>
        </w:numPr>
      </w:pPr>
      <w:r>
        <w:rPr>
          <w:lang w:val="en-GB"/>
        </w:rPr>
        <w:t>a description of data sources,</w:t>
      </w:r>
    </w:p>
    <w:p w:rsidR="00D43312" w:rsidRDefault="00D43312" w:rsidP="009E6653">
      <w:pPr>
        <w:pStyle w:val="Odstavekseznama"/>
        <w:numPr>
          <w:ilvl w:val="0"/>
          <w:numId w:val="111"/>
        </w:numPr>
      </w:pPr>
      <w:r>
        <w:rPr>
          <w:lang w:val="en-GB"/>
        </w:rPr>
        <w:t xml:space="preserve">a definition of default and loss, </w:t>
      </w:r>
    </w:p>
    <w:p w:rsidR="00A04C33" w:rsidRDefault="00A04C33" w:rsidP="009E6653">
      <w:pPr>
        <w:pStyle w:val="Odstavekseznama"/>
        <w:numPr>
          <w:ilvl w:val="0"/>
          <w:numId w:val="111"/>
        </w:numPr>
      </w:pPr>
      <w:r>
        <w:rPr>
          <w:lang w:val="en-GB"/>
        </w:rPr>
        <w:t>a definition of predictive variables,</w:t>
      </w:r>
    </w:p>
    <w:p w:rsidR="00D43312" w:rsidRDefault="00D43312" w:rsidP="009E6653">
      <w:pPr>
        <w:pStyle w:val="Odstavekseznama"/>
        <w:numPr>
          <w:ilvl w:val="0"/>
          <w:numId w:val="111"/>
        </w:numPr>
      </w:pPr>
      <w:r>
        <w:rPr>
          <w:lang w:val="en-GB"/>
        </w:rPr>
        <w:t>a precise description of the functional concept, theory and assumptions of the model in question,</w:t>
      </w:r>
    </w:p>
    <w:p w:rsidR="00D43312" w:rsidRPr="00F83E0C" w:rsidRDefault="00D43312" w:rsidP="009E6653">
      <w:pPr>
        <w:pStyle w:val="Odstavekseznama"/>
        <w:numPr>
          <w:ilvl w:val="0"/>
          <w:numId w:val="111"/>
        </w:numPr>
      </w:pPr>
      <w:r>
        <w:rPr>
          <w:lang w:val="en-GB"/>
        </w:rPr>
        <w:t>the technical specifications of the model,</w:t>
      </w:r>
    </w:p>
    <w:p w:rsidR="00D43312" w:rsidRPr="00F83E0C" w:rsidRDefault="00D43312" w:rsidP="009E6653">
      <w:pPr>
        <w:pStyle w:val="Odstavekseznama"/>
        <w:numPr>
          <w:ilvl w:val="0"/>
          <w:numId w:val="111"/>
        </w:numPr>
      </w:pPr>
      <w:r>
        <w:rPr>
          <w:lang w:val="en-GB"/>
        </w:rPr>
        <w:t>a description of the statistical methods for confirming the suitability of the model,</w:t>
      </w:r>
    </w:p>
    <w:p w:rsidR="00D43312" w:rsidRDefault="00D43312" w:rsidP="009E6653">
      <w:pPr>
        <w:pStyle w:val="Odstavekseznama"/>
        <w:numPr>
          <w:ilvl w:val="0"/>
          <w:numId w:val="111"/>
        </w:numPr>
      </w:pPr>
      <w:r>
        <w:rPr>
          <w:lang w:val="en-GB"/>
        </w:rPr>
        <w:t>a description of the circumstances in which the model does not work effectively.</w:t>
      </w:r>
    </w:p>
    <w:p w:rsidR="00D43312" w:rsidRDefault="00D43312" w:rsidP="00D43312"/>
    <w:p w:rsidR="00D43312" w:rsidRDefault="00D43312" w:rsidP="00D43312">
      <w:pPr>
        <w:pStyle w:val="Odstavekseznama"/>
        <w:numPr>
          <w:ilvl w:val="0"/>
          <w:numId w:val="68"/>
        </w:numPr>
      </w:pPr>
      <w:r>
        <w:rPr>
          <w:lang w:val="en-GB"/>
        </w:rPr>
        <w:t xml:space="preserve">The use of an external model shall not exempt the bank from the obligation of documentation or any other of the requirements for the system for assigning exposures to rating grades.  </w:t>
      </w:r>
    </w:p>
    <w:p w:rsidR="009E6653" w:rsidRDefault="009E6653" w:rsidP="008D10DD">
      <w:pPr>
        <w:pStyle w:val="Odstavekseznama"/>
        <w:keepNext/>
        <w:ind w:left="360" w:firstLine="0"/>
      </w:pPr>
    </w:p>
    <w:p w:rsidR="009E6653" w:rsidRPr="00241FDB" w:rsidRDefault="003A5CB7" w:rsidP="004D0C7B">
      <w:pPr>
        <w:keepNext/>
        <w:jc w:val="center"/>
        <w:rPr>
          <w:bCs/>
          <w:szCs w:val="22"/>
        </w:rPr>
      </w:pPr>
      <w:r>
        <w:rPr>
          <w:szCs w:val="22"/>
          <w:lang w:val="en-GB"/>
        </w:rPr>
        <w:t>Article 20</w:t>
      </w:r>
    </w:p>
    <w:p w:rsidR="009E6653" w:rsidRDefault="009E6653" w:rsidP="008D10DD">
      <w:pPr>
        <w:keepNext/>
        <w:autoSpaceDE w:val="0"/>
        <w:autoSpaceDN w:val="0"/>
        <w:adjustRightInd w:val="0"/>
        <w:jc w:val="center"/>
      </w:pPr>
      <w:r>
        <w:rPr>
          <w:lang w:val="en-GB"/>
        </w:rPr>
        <w:t>(</w:t>
      </w:r>
      <w:proofErr w:type="gramStart"/>
      <w:r>
        <w:rPr>
          <w:color w:val="000000" w:themeColor="text1"/>
          <w:lang w:val="en-GB"/>
        </w:rPr>
        <w:t>validation</w:t>
      </w:r>
      <w:proofErr w:type="gramEnd"/>
      <w:r>
        <w:rPr>
          <w:lang w:val="en-GB"/>
        </w:rPr>
        <w:t>)</w:t>
      </w:r>
    </w:p>
    <w:p w:rsidR="009E6653" w:rsidRDefault="009E6653" w:rsidP="008D10DD">
      <w:pPr>
        <w:keepNext/>
        <w:ind w:firstLine="360"/>
      </w:pPr>
    </w:p>
    <w:p w:rsidR="00C332D6" w:rsidRPr="00C3333F" w:rsidRDefault="009E6653" w:rsidP="008D10DD">
      <w:pPr>
        <w:pStyle w:val="Odstavekseznama"/>
        <w:keepNext/>
        <w:numPr>
          <w:ilvl w:val="0"/>
          <w:numId w:val="110"/>
        </w:numPr>
        <w:autoSpaceDE w:val="0"/>
        <w:autoSpaceDN w:val="0"/>
        <w:adjustRightInd w:val="0"/>
      </w:pPr>
      <w:r>
        <w:rPr>
          <w:lang w:val="en-GB"/>
        </w:rPr>
        <w:t xml:space="preserve">A bank shall have clearly defined rules and processes for the regular validation and modification of rating systems, which shall include or take account of at least the following: </w:t>
      </w:r>
    </w:p>
    <w:p w:rsidR="00C332D6" w:rsidRPr="00C3333F" w:rsidRDefault="008C794C" w:rsidP="00C3333F">
      <w:pPr>
        <w:pStyle w:val="Odstavekseznama"/>
        <w:numPr>
          <w:ilvl w:val="0"/>
          <w:numId w:val="134"/>
        </w:numPr>
        <w:autoSpaceDE w:val="0"/>
        <w:autoSpaceDN w:val="0"/>
        <w:adjustRightInd w:val="0"/>
      </w:pPr>
      <w:r>
        <w:rPr>
          <w:lang w:val="en-GB"/>
        </w:rPr>
        <w:t>appropriate methods for assessing the suitability of rating systems with regard to their complexity and scale;</w:t>
      </w:r>
    </w:p>
    <w:p w:rsidR="00C3333F" w:rsidRDefault="0054239E" w:rsidP="00C3333F">
      <w:pPr>
        <w:pStyle w:val="Odstavekseznama"/>
        <w:numPr>
          <w:ilvl w:val="0"/>
          <w:numId w:val="134"/>
        </w:numPr>
        <w:autoSpaceDE w:val="0"/>
        <w:autoSpaceDN w:val="0"/>
        <w:adjustRightInd w:val="0"/>
      </w:pPr>
      <w:r>
        <w:rPr>
          <w:lang w:val="en-GB"/>
        </w:rPr>
        <w:t>a clear definition of the validation process, the scope of validation, and the standards and limitations of validation;</w:t>
      </w:r>
    </w:p>
    <w:p w:rsidR="00C3333F" w:rsidRDefault="0054239E" w:rsidP="00C3333F">
      <w:pPr>
        <w:pStyle w:val="Odstavekseznama"/>
        <w:numPr>
          <w:ilvl w:val="0"/>
          <w:numId w:val="134"/>
        </w:numPr>
        <w:autoSpaceDE w:val="0"/>
        <w:autoSpaceDN w:val="0"/>
        <w:adjustRightInd w:val="0"/>
      </w:pPr>
      <w:r>
        <w:rPr>
          <w:lang w:val="en-GB"/>
        </w:rPr>
        <w:t>descriptions of all validation tests and a list of the procedures used for validation, including a definition of the timeframe of data capture;</w:t>
      </w:r>
    </w:p>
    <w:p w:rsidR="006F030F" w:rsidRPr="00C3333F" w:rsidRDefault="00C3333F" w:rsidP="00C3333F">
      <w:pPr>
        <w:pStyle w:val="Odstavekseznama"/>
        <w:numPr>
          <w:ilvl w:val="0"/>
          <w:numId w:val="134"/>
        </w:numPr>
        <w:autoSpaceDE w:val="0"/>
        <w:autoSpaceDN w:val="0"/>
        <w:adjustRightInd w:val="0"/>
      </w:pPr>
      <w:r>
        <w:rPr>
          <w:lang w:val="en-GB"/>
        </w:rPr>
        <w:t xml:space="preserve">standards of data clean-up and data sources for validation; </w:t>
      </w:r>
    </w:p>
    <w:p w:rsidR="006F030F" w:rsidRPr="00C3333F" w:rsidRDefault="006F030F" w:rsidP="00C3333F">
      <w:pPr>
        <w:pStyle w:val="Odstavekseznama"/>
        <w:numPr>
          <w:ilvl w:val="0"/>
          <w:numId w:val="134"/>
        </w:numPr>
        <w:autoSpaceDE w:val="0"/>
        <w:autoSpaceDN w:val="0"/>
        <w:adjustRightInd w:val="0"/>
      </w:pPr>
      <w:r>
        <w:rPr>
          <w:lang w:val="en-GB"/>
        </w:rPr>
        <w:t xml:space="preserve">backtesting; </w:t>
      </w:r>
    </w:p>
    <w:p w:rsidR="004A0ABF" w:rsidRPr="00C3333F" w:rsidRDefault="006F030F" w:rsidP="00C3333F">
      <w:pPr>
        <w:pStyle w:val="Odstavekseznama"/>
        <w:numPr>
          <w:ilvl w:val="0"/>
          <w:numId w:val="134"/>
        </w:numPr>
        <w:autoSpaceDE w:val="0"/>
        <w:autoSpaceDN w:val="0"/>
        <w:adjustRightInd w:val="0"/>
      </w:pPr>
      <w:r>
        <w:rPr>
          <w:lang w:val="en-GB"/>
        </w:rPr>
        <w:t>business cycles and the related systemic fluctuations, and experience of default events.</w:t>
      </w:r>
    </w:p>
    <w:p w:rsidR="009E6653" w:rsidRPr="00C3333F" w:rsidRDefault="009E6653" w:rsidP="009E6653">
      <w:pPr>
        <w:pStyle w:val="Odstavekseznama"/>
        <w:autoSpaceDE w:val="0"/>
        <w:autoSpaceDN w:val="0"/>
        <w:adjustRightInd w:val="0"/>
        <w:ind w:left="360" w:firstLine="0"/>
      </w:pPr>
    </w:p>
    <w:p w:rsidR="009E6653" w:rsidRPr="00853967" w:rsidRDefault="009E6653" w:rsidP="009E6653">
      <w:pPr>
        <w:pStyle w:val="Odstavekseznama"/>
        <w:numPr>
          <w:ilvl w:val="0"/>
          <w:numId w:val="110"/>
        </w:numPr>
        <w:autoSpaceDE w:val="0"/>
        <w:autoSpaceDN w:val="0"/>
        <w:adjustRightInd w:val="0"/>
      </w:pPr>
      <w:r>
        <w:rPr>
          <w:lang w:val="en-GB"/>
        </w:rPr>
        <w:t xml:space="preserve">The bank shall ensure the independence of the validation process from the model development process and other credit processes. Roles and responsibilities in the validation process shall be defined in detail. </w:t>
      </w:r>
    </w:p>
    <w:p w:rsidR="009E6653" w:rsidRDefault="009E6653" w:rsidP="009E6653">
      <w:pPr>
        <w:pStyle w:val="Odstavekseznama"/>
        <w:autoSpaceDE w:val="0"/>
        <w:autoSpaceDN w:val="0"/>
        <w:adjustRightInd w:val="0"/>
        <w:ind w:left="360" w:firstLine="0"/>
      </w:pPr>
    </w:p>
    <w:p w:rsidR="009E6653" w:rsidRDefault="009E6653" w:rsidP="009E6653">
      <w:pPr>
        <w:pStyle w:val="Odstavekseznama"/>
        <w:numPr>
          <w:ilvl w:val="0"/>
          <w:numId w:val="110"/>
        </w:numPr>
        <w:autoSpaceDE w:val="0"/>
        <w:autoSpaceDN w:val="0"/>
        <w:adjustRightInd w:val="0"/>
      </w:pPr>
      <w:r>
        <w:rPr>
          <w:lang w:val="en-GB"/>
        </w:rPr>
        <w:t xml:space="preserve">The bank shall conduct a validation of rating systems for material portfolios at least once a year. </w:t>
      </w:r>
    </w:p>
    <w:p w:rsidR="00191003" w:rsidRDefault="00191003" w:rsidP="00191003">
      <w:pPr>
        <w:pStyle w:val="Odstavekseznama"/>
      </w:pPr>
    </w:p>
    <w:p w:rsidR="009E6653" w:rsidRDefault="009E6653" w:rsidP="009E6653">
      <w:pPr>
        <w:pStyle w:val="Odstavekseznama"/>
        <w:numPr>
          <w:ilvl w:val="0"/>
          <w:numId w:val="110"/>
        </w:numPr>
      </w:pPr>
      <w:r>
        <w:rPr>
          <w:lang w:val="en-GB"/>
        </w:rPr>
        <w:t>The results of validations shall be analysed and appropriately documented by the bank. Any deficiencies identified in the performance of rating systems shall be taken into account by the bank when they are being modified. The bank shall set out the criteria that require a modification or upgrade to a specific rating system.</w:t>
      </w:r>
    </w:p>
    <w:p w:rsidR="004516FB" w:rsidRDefault="004516FB" w:rsidP="007E4A30">
      <w:pPr>
        <w:ind w:firstLine="360"/>
      </w:pPr>
    </w:p>
    <w:p w:rsidR="00004C40" w:rsidRDefault="00004C40" w:rsidP="007E4A30">
      <w:pPr>
        <w:ind w:firstLine="360"/>
      </w:pPr>
    </w:p>
    <w:p w:rsidR="004473C0" w:rsidRPr="00A47BBB" w:rsidRDefault="006C0EF6" w:rsidP="002748A0">
      <w:pPr>
        <w:pStyle w:val="Naslov1"/>
        <w:numPr>
          <w:ilvl w:val="0"/>
          <w:numId w:val="98"/>
        </w:numPr>
        <w:jc w:val="center"/>
        <w:rPr>
          <w:rFonts w:ascii="Times New Roman" w:hAnsi="Times New Roman" w:cs="Arial"/>
          <w:i w:val="0"/>
          <w:caps/>
          <w:kern w:val="32"/>
          <w:szCs w:val="22"/>
        </w:rPr>
      </w:pPr>
      <w:bookmarkStart w:id="2" w:name="_Ref480289284"/>
      <w:r>
        <w:rPr>
          <w:rFonts w:ascii="Times New Roman" w:hAnsi="Times New Roman" w:cs="Arial"/>
          <w:bCs/>
          <w:i w:val="0"/>
          <w:caps/>
          <w:kern w:val="32"/>
          <w:szCs w:val="22"/>
          <w:lang w:val="en-GB"/>
        </w:rPr>
        <w:t>MANAGEMENT OF CREDIT PROTECTION</w:t>
      </w:r>
      <w:bookmarkEnd w:id="2"/>
    </w:p>
    <w:p w:rsidR="004473C0" w:rsidRDefault="004473C0" w:rsidP="002748A0">
      <w:pPr>
        <w:keepNext/>
        <w:autoSpaceDE w:val="0"/>
        <w:autoSpaceDN w:val="0"/>
        <w:adjustRightInd w:val="0"/>
      </w:pPr>
    </w:p>
    <w:p w:rsidR="004473C0" w:rsidRPr="00241FDB" w:rsidRDefault="003A5CB7" w:rsidP="004D0C7B">
      <w:pPr>
        <w:keepNext/>
        <w:jc w:val="center"/>
        <w:rPr>
          <w:bCs/>
          <w:szCs w:val="22"/>
        </w:rPr>
      </w:pPr>
      <w:bookmarkStart w:id="3" w:name="_Ref492997118"/>
      <w:bookmarkStart w:id="4" w:name="_Ref491171875"/>
      <w:r>
        <w:rPr>
          <w:szCs w:val="22"/>
          <w:lang w:val="en-GB"/>
        </w:rPr>
        <w:t>Article 21</w:t>
      </w:r>
      <w:bookmarkEnd w:id="3"/>
      <w:bookmarkEnd w:id="4"/>
    </w:p>
    <w:p w:rsidR="004473C0" w:rsidRDefault="004473C0" w:rsidP="002748A0">
      <w:pPr>
        <w:keepNext/>
        <w:autoSpaceDE w:val="0"/>
        <w:autoSpaceDN w:val="0"/>
        <w:adjustRightInd w:val="0"/>
        <w:jc w:val="center"/>
      </w:pPr>
      <w:r>
        <w:rPr>
          <w:lang w:val="en-GB"/>
        </w:rPr>
        <w:t>(</w:t>
      </w:r>
      <w:proofErr w:type="gramStart"/>
      <w:r>
        <w:rPr>
          <w:lang w:val="en-GB"/>
        </w:rPr>
        <w:t>general</w:t>
      </w:r>
      <w:proofErr w:type="gramEnd"/>
      <w:r>
        <w:rPr>
          <w:lang w:val="en-GB"/>
        </w:rPr>
        <w:t xml:space="preserve"> requirements with regard to credit protection)</w:t>
      </w:r>
    </w:p>
    <w:p w:rsidR="004473C0" w:rsidRDefault="004473C0" w:rsidP="002748A0">
      <w:pPr>
        <w:keepNext/>
        <w:autoSpaceDE w:val="0"/>
        <w:autoSpaceDN w:val="0"/>
        <w:adjustRightInd w:val="0"/>
      </w:pPr>
    </w:p>
    <w:p w:rsidR="004473C0" w:rsidRPr="001D4BAE" w:rsidRDefault="00DC1441" w:rsidP="002748A0">
      <w:pPr>
        <w:pStyle w:val="Odstavekseznama"/>
        <w:keepNext/>
        <w:numPr>
          <w:ilvl w:val="0"/>
          <w:numId w:val="21"/>
        </w:numPr>
      </w:pPr>
      <w:r>
        <w:rPr>
          <w:lang w:val="en-GB"/>
        </w:rPr>
        <w:t xml:space="preserve">A bank shall have a written credit protection policy, which shall be approved by and reviewed at least once a year by the management body. The bank shall define at least the following in its credit protection policy:  </w:t>
      </w:r>
    </w:p>
    <w:p w:rsidR="004473C0" w:rsidRPr="001D4BAE" w:rsidRDefault="004473C0" w:rsidP="00EB7B3A">
      <w:pPr>
        <w:numPr>
          <w:ilvl w:val="0"/>
          <w:numId w:val="18"/>
        </w:numPr>
      </w:pPr>
      <w:r>
        <w:rPr>
          <w:lang w:val="en-GB"/>
        </w:rPr>
        <w:t xml:space="preserve">types of acceptable credit protection with regard to the type of debtor and transaction, </w:t>
      </w:r>
    </w:p>
    <w:p w:rsidR="004473C0" w:rsidRPr="001D4BAE" w:rsidRDefault="004473C0" w:rsidP="00EB7B3A">
      <w:pPr>
        <w:numPr>
          <w:ilvl w:val="0"/>
          <w:numId w:val="18"/>
        </w:numPr>
      </w:pPr>
      <w:r>
        <w:rPr>
          <w:lang w:val="en-GB"/>
        </w:rPr>
        <w:t xml:space="preserve">the permitted ratio of the value of the loan to the value of the collateral (LTV ratio) for specific types of credit protection, </w:t>
      </w:r>
    </w:p>
    <w:p w:rsidR="004473C0" w:rsidRPr="001D4BAE" w:rsidRDefault="004473C0" w:rsidP="00EB7B3A">
      <w:pPr>
        <w:numPr>
          <w:ilvl w:val="0"/>
          <w:numId w:val="18"/>
        </w:numPr>
      </w:pPr>
      <w:r>
        <w:rPr>
          <w:lang w:val="en-GB"/>
        </w:rPr>
        <w:t xml:space="preserve">the documentation required to ensure the legal certainty of specific types of credit protection, </w:t>
      </w:r>
    </w:p>
    <w:p w:rsidR="004473C0" w:rsidRPr="001D4BAE" w:rsidRDefault="004473C0" w:rsidP="00EB7B3A">
      <w:pPr>
        <w:pStyle w:val="Odstavekseznama"/>
        <w:numPr>
          <w:ilvl w:val="0"/>
          <w:numId w:val="18"/>
        </w:numPr>
      </w:pPr>
      <w:r>
        <w:rPr>
          <w:lang w:val="en-GB"/>
        </w:rPr>
        <w:t>the methodology for valuing individual types of credit protection, which sets out the method and frequency of valuation,</w:t>
      </w:r>
    </w:p>
    <w:p w:rsidR="00B25022" w:rsidRPr="001D4BAE" w:rsidRDefault="00B25022" w:rsidP="00EB7B3A">
      <w:pPr>
        <w:numPr>
          <w:ilvl w:val="0"/>
          <w:numId w:val="18"/>
        </w:numPr>
      </w:pPr>
      <w:r>
        <w:rPr>
          <w:lang w:val="en-GB"/>
        </w:rPr>
        <w:t>the methodology for determining the level of correlation between the value of the credit protection and the debtor’s credit quality,</w:t>
      </w:r>
    </w:p>
    <w:p w:rsidR="004473C0" w:rsidRPr="001D4BAE" w:rsidRDefault="004473C0" w:rsidP="00EB7B3A">
      <w:pPr>
        <w:numPr>
          <w:ilvl w:val="0"/>
          <w:numId w:val="18"/>
        </w:numPr>
      </w:pPr>
      <w:r>
        <w:rPr>
          <w:lang w:val="en-GB"/>
        </w:rPr>
        <w:t>the procedures and processes for the prompt enforceability of each type of credit protection,</w:t>
      </w:r>
    </w:p>
    <w:p w:rsidR="004473C0" w:rsidRPr="001D4BAE" w:rsidRDefault="004473C0" w:rsidP="00772207">
      <w:pPr>
        <w:pStyle w:val="Odstavekseznama"/>
        <w:numPr>
          <w:ilvl w:val="0"/>
          <w:numId w:val="18"/>
        </w:numPr>
      </w:pPr>
      <w:r>
        <w:rPr>
          <w:lang w:val="en-GB"/>
        </w:rPr>
        <w:t xml:space="preserve">the types of credit protection where a physical inspection of the assets pledged as collateral is required. </w:t>
      </w:r>
    </w:p>
    <w:p w:rsidR="004473C0" w:rsidRDefault="00B25022" w:rsidP="00772207">
      <w:pPr>
        <w:pStyle w:val="Odstavekseznama"/>
        <w:ind w:firstLine="0"/>
      </w:pPr>
      <w:r>
        <w:rPr>
          <w:lang w:val="en-GB"/>
        </w:rPr>
        <w:t xml:space="preserve"> </w:t>
      </w:r>
    </w:p>
    <w:p w:rsidR="004473C0" w:rsidRDefault="004473C0" w:rsidP="00EB7B3A">
      <w:pPr>
        <w:pStyle w:val="Odstavekseznama"/>
        <w:numPr>
          <w:ilvl w:val="0"/>
          <w:numId w:val="21"/>
        </w:numPr>
      </w:pPr>
      <w:r>
        <w:rPr>
          <w:lang w:val="en-GB"/>
        </w:rPr>
        <w:t>The bank shall have at its disposal all the requisite documentation based on which the legal certainty of credit protection and the effectiveness of its management are established. The bank shall ensure:</w:t>
      </w:r>
    </w:p>
    <w:p w:rsidR="004473C0" w:rsidRDefault="004473C0" w:rsidP="00EB7B3A">
      <w:pPr>
        <w:pStyle w:val="Odstavekseznama"/>
        <w:numPr>
          <w:ilvl w:val="0"/>
          <w:numId w:val="20"/>
        </w:numPr>
      </w:pPr>
      <w:r>
        <w:rPr>
          <w:lang w:val="en-GB"/>
        </w:rPr>
        <w:t>the legal certainty of credit protection by meeting all contractual and legal requirements in connection with the enforceability of credit protection, and</w:t>
      </w:r>
    </w:p>
    <w:p w:rsidR="004473C0" w:rsidRPr="009E2072" w:rsidRDefault="004473C0" w:rsidP="00EB7B3A">
      <w:pPr>
        <w:pStyle w:val="Odstavekseznama"/>
        <w:numPr>
          <w:ilvl w:val="0"/>
          <w:numId w:val="20"/>
        </w:numPr>
      </w:pPr>
      <w:r>
        <w:rPr>
          <w:lang w:val="en-GB"/>
        </w:rPr>
        <w:t xml:space="preserve">the effectiveness of the management of credit protection on the basis of adopted measures, procedures and policies that provide for prompt realisation and appropriate certainty with regard to the amount of repayment from the credit protection used. </w:t>
      </w:r>
    </w:p>
    <w:p w:rsidR="004473C0" w:rsidRDefault="004473C0" w:rsidP="004473C0">
      <w:pPr>
        <w:pStyle w:val="Odstavekseznama"/>
        <w:ind w:left="360"/>
      </w:pPr>
    </w:p>
    <w:p w:rsidR="004473C0" w:rsidRPr="009E2072" w:rsidRDefault="004473C0" w:rsidP="00EB7B3A">
      <w:pPr>
        <w:pStyle w:val="Odstavekseznama"/>
        <w:numPr>
          <w:ilvl w:val="0"/>
          <w:numId w:val="21"/>
        </w:numPr>
      </w:pPr>
      <w:r>
        <w:rPr>
          <w:lang w:val="en-GB"/>
        </w:rPr>
        <w:t xml:space="preserve">The bank shall assess the value of credit protection on the basis of a predefined credit protection valuation methodology. The bank shall regularly monitor the value of credit protection for the duration thereof, shall adjust the value on the basis of appropriate valuation, and shall take account of any prior encumbrances. </w:t>
      </w:r>
    </w:p>
    <w:p w:rsidR="004473C0" w:rsidRDefault="004473C0" w:rsidP="00E62E3B">
      <w:pPr>
        <w:autoSpaceDE w:val="0"/>
        <w:autoSpaceDN w:val="0"/>
        <w:adjustRightInd w:val="0"/>
      </w:pPr>
    </w:p>
    <w:p w:rsidR="00B25022" w:rsidRDefault="00B25022" w:rsidP="00772207">
      <w:pPr>
        <w:pStyle w:val="Odstavekseznama"/>
        <w:numPr>
          <w:ilvl w:val="0"/>
          <w:numId w:val="21"/>
        </w:numPr>
      </w:pPr>
      <w:r>
        <w:rPr>
          <w:lang w:val="en-GB"/>
        </w:rPr>
        <w:t>The bank shall reserve special treatment for credit protection whose value is highly volatile and/or that is the subject of a very lengthy realisation process.</w:t>
      </w:r>
    </w:p>
    <w:p w:rsidR="006B0B70" w:rsidRPr="0057447F" w:rsidRDefault="006B0B70" w:rsidP="006B0B70">
      <w:r>
        <w:rPr>
          <w:lang w:val="en-GB"/>
        </w:rPr>
        <w:t xml:space="preserve"> </w:t>
      </w:r>
    </w:p>
    <w:p w:rsidR="00B25022" w:rsidRDefault="006B0B70" w:rsidP="006B0B70">
      <w:pPr>
        <w:pStyle w:val="Odstavekseznama"/>
        <w:numPr>
          <w:ilvl w:val="0"/>
          <w:numId w:val="21"/>
        </w:numPr>
        <w:autoSpaceDE w:val="0"/>
        <w:autoSpaceDN w:val="0"/>
        <w:adjustRightInd w:val="0"/>
      </w:pPr>
      <w:r>
        <w:rPr>
          <w:lang w:val="en-GB"/>
        </w:rPr>
        <w:t>The bank shall provide for adequate treatment and control of residual risk inherent in the use of credit protection.</w:t>
      </w:r>
    </w:p>
    <w:p w:rsidR="006B0B70" w:rsidRDefault="006B0B70" w:rsidP="00231EFD">
      <w:pPr>
        <w:pStyle w:val="Odstavekseznama"/>
        <w:keepNext/>
      </w:pPr>
    </w:p>
    <w:p w:rsidR="002A11A5" w:rsidRPr="00241FDB" w:rsidRDefault="003A5CB7" w:rsidP="004D0C7B">
      <w:pPr>
        <w:keepNext/>
        <w:jc w:val="center"/>
        <w:rPr>
          <w:bCs/>
          <w:szCs w:val="22"/>
        </w:rPr>
      </w:pPr>
      <w:r>
        <w:rPr>
          <w:szCs w:val="22"/>
          <w:lang w:val="en-GB"/>
        </w:rPr>
        <w:t>Article 22</w:t>
      </w:r>
    </w:p>
    <w:p w:rsidR="002A11A5" w:rsidRDefault="002A11A5" w:rsidP="00231EFD">
      <w:pPr>
        <w:keepNext/>
        <w:autoSpaceDE w:val="0"/>
        <w:autoSpaceDN w:val="0"/>
        <w:adjustRightInd w:val="0"/>
        <w:jc w:val="center"/>
      </w:pPr>
      <w:r>
        <w:rPr>
          <w:lang w:val="en-GB"/>
        </w:rPr>
        <w:t>(</w:t>
      </w:r>
      <w:proofErr w:type="gramStart"/>
      <w:r>
        <w:rPr>
          <w:lang w:val="en-GB"/>
        </w:rPr>
        <w:t>monitoring</w:t>
      </w:r>
      <w:proofErr w:type="gramEnd"/>
      <w:r>
        <w:rPr>
          <w:lang w:val="en-GB"/>
        </w:rPr>
        <w:t xml:space="preserve"> of credit protection)</w:t>
      </w:r>
    </w:p>
    <w:p w:rsidR="002A11A5" w:rsidRDefault="002A11A5" w:rsidP="00231EFD">
      <w:pPr>
        <w:keepNext/>
        <w:autoSpaceDE w:val="0"/>
        <w:autoSpaceDN w:val="0"/>
        <w:adjustRightInd w:val="0"/>
      </w:pPr>
    </w:p>
    <w:p w:rsidR="002A11A5" w:rsidRPr="001D4BAE" w:rsidRDefault="002A11A5" w:rsidP="00231EFD">
      <w:pPr>
        <w:pStyle w:val="Odstavekseznama"/>
        <w:keepNext/>
        <w:numPr>
          <w:ilvl w:val="0"/>
          <w:numId w:val="71"/>
        </w:numPr>
      </w:pPr>
      <w:r>
        <w:rPr>
          <w:lang w:val="en-GB"/>
        </w:rPr>
        <w:t xml:space="preserve">A bank shall provide for regular monitoring of the value and legal certainty of credit protection at appropriate time intervals beginning from the approval of the transaction depending on the type of credit protection. The bank shall monitor the value of credit protection more frequently in the event of significant changes in the conditions on a market of relevance to the credit protection, and shall review it each time that the information at the bank’s disposal indicates a significant decline in the value of the credit protection. </w:t>
      </w:r>
    </w:p>
    <w:p w:rsidR="002A11A5" w:rsidRPr="004D7363" w:rsidRDefault="002A11A5" w:rsidP="002A11A5">
      <w:pPr>
        <w:ind w:left="360"/>
      </w:pPr>
    </w:p>
    <w:p w:rsidR="004473C0" w:rsidRPr="00241FDB" w:rsidRDefault="003A5CB7" w:rsidP="004D0C7B">
      <w:pPr>
        <w:jc w:val="center"/>
        <w:rPr>
          <w:bCs/>
          <w:szCs w:val="22"/>
        </w:rPr>
      </w:pPr>
      <w:bookmarkStart w:id="5" w:name="_Ref497923881"/>
      <w:r>
        <w:rPr>
          <w:szCs w:val="22"/>
          <w:lang w:val="en-GB"/>
        </w:rPr>
        <w:t>Article 23</w:t>
      </w:r>
      <w:bookmarkEnd w:id="5"/>
    </w:p>
    <w:p w:rsidR="004473C0" w:rsidRDefault="004473C0" w:rsidP="004473C0">
      <w:pPr>
        <w:autoSpaceDE w:val="0"/>
        <w:autoSpaceDN w:val="0"/>
        <w:adjustRightInd w:val="0"/>
        <w:jc w:val="center"/>
      </w:pPr>
      <w:r>
        <w:rPr>
          <w:lang w:val="en-GB"/>
        </w:rPr>
        <w:t>(</w:t>
      </w:r>
      <w:proofErr w:type="gramStart"/>
      <w:r>
        <w:rPr>
          <w:lang w:val="en-GB"/>
        </w:rPr>
        <w:t>real</w:t>
      </w:r>
      <w:proofErr w:type="gramEnd"/>
      <w:r>
        <w:rPr>
          <w:lang w:val="en-GB"/>
        </w:rPr>
        <w:t xml:space="preserve"> estate collateral)</w:t>
      </w:r>
    </w:p>
    <w:p w:rsidR="004473C0" w:rsidRDefault="004473C0" w:rsidP="00E62E3B">
      <w:pPr>
        <w:autoSpaceDE w:val="0"/>
        <w:autoSpaceDN w:val="0"/>
        <w:adjustRightInd w:val="0"/>
      </w:pPr>
    </w:p>
    <w:p w:rsidR="00CE09FB" w:rsidRPr="001D4BAE" w:rsidRDefault="006A6A3A" w:rsidP="00CE09FB">
      <w:pPr>
        <w:pStyle w:val="Odstavekseznama"/>
        <w:numPr>
          <w:ilvl w:val="0"/>
          <w:numId w:val="26"/>
        </w:numPr>
      </w:pPr>
      <w:bookmarkStart w:id="6" w:name="_Ref345276515"/>
      <w:r>
        <w:rPr>
          <w:lang w:val="en-GB"/>
        </w:rPr>
        <w:t>When taking account of real estate collateral in the estimation of credit risk losses, a bank shall provide for the following documentation at least:</w:t>
      </w:r>
    </w:p>
    <w:p w:rsidR="00CE09FB" w:rsidRPr="009E2072" w:rsidRDefault="00CE09FB" w:rsidP="009F680C">
      <w:pPr>
        <w:pStyle w:val="Odstavekseznama"/>
        <w:numPr>
          <w:ilvl w:val="0"/>
          <w:numId w:val="194"/>
        </w:numPr>
      </w:pPr>
      <w:r>
        <w:rPr>
          <w:lang w:val="en-GB"/>
        </w:rPr>
        <w:t>a directly enforceable notarial record of collateral in the form of the entry of a mortgage on the pledger’s real estate, and a final court order allowing the registration of the mortgage, unless the bank owns the real estate;</w:t>
      </w:r>
    </w:p>
    <w:p w:rsidR="00CE09FB" w:rsidRPr="009E2072" w:rsidRDefault="00CE09FB" w:rsidP="0040633E">
      <w:pPr>
        <w:pStyle w:val="Odstavekseznama"/>
        <w:numPr>
          <w:ilvl w:val="0"/>
          <w:numId w:val="194"/>
        </w:numPr>
      </w:pPr>
      <w:r>
        <w:rPr>
          <w:lang w:val="en-GB"/>
        </w:rPr>
        <w:t>a current land register extract;</w:t>
      </w:r>
    </w:p>
    <w:p w:rsidR="00CE09FB" w:rsidRPr="009E2072" w:rsidRDefault="00CE09FB" w:rsidP="0040633E">
      <w:pPr>
        <w:pStyle w:val="Odstavekseznama"/>
        <w:numPr>
          <w:ilvl w:val="0"/>
          <w:numId w:val="194"/>
        </w:numPr>
      </w:pPr>
      <w:r>
        <w:rPr>
          <w:lang w:val="en-GB"/>
        </w:rPr>
        <w:t>an insurance policy for the real estate issued to or assigned to the bank, whereby the bank shall establish procedures for monitoring whether the real estate is adequately insured against damage for the duration of the credit relationship;</w:t>
      </w:r>
    </w:p>
    <w:p w:rsidR="00CE09FB" w:rsidRPr="009E2072" w:rsidRDefault="00CE09FB" w:rsidP="0040633E">
      <w:pPr>
        <w:pStyle w:val="Odstavekseznama"/>
        <w:numPr>
          <w:ilvl w:val="0"/>
          <w:numId w:val="194"/>
        </w:numPr>
      </w:pPr>
      <w:r>
        <w:rPr>
          <w:lang w:val="en-GB"/>
        </w:rPr>
        <w:t>the documented value of the real estate, which also applies each time that the real estate is revalued.</w:t>
      </w:r>
    </w:p>
    <w:p w:rsidR="00CE09FB" w:rsidRDefault="00CE09FB" w:rsidP="00CE09FB">
      <w:pPr>
        <w:pStyle w:val="Odstavekseznama"/>
        <w:ind w:left="360" w:firstLine="0"/>
      </w:pPr>
    </w:p>
    <w:p w:rsidR="004473C0" w:rsidRPr="00011407" w:rsidRDefault="000C0B96" w:rsidP="00EB7B3A">
      <w:pPr>
        <w:pStyle w:val="Odstavekseznama"/>
        <w:numPr>
          <w:ilvl w:val="0"/>
          <w:numId w:val="26"/>
        </w:numPr>
      </w:pPr>
      <w:r>
        <w:rPr>
          <w:lang w:val="en-GB"/>
        </w:rPr>
        <w:t>The market value of the real estate as estimated by an appraiser in accordance with the international valuation standards shall be taken into account as the value of the real estate collateral. The valuation may not be more than one year old when the real estate is received as collateral.</w:t>
      </w:r>
    </w:p>
    <w:p w:rsidR="004473C0" w:rsidRPr="009839A6" w:rsidRDefault="004473C0" w:rsidP="004473C0">
      <w:pPr>
        <w:pStyle w:val="Odstavekseznama"/>
        <w:ind w:left="360"/>
      </w:pPr>
    </w:p>
    <w:bookmarkEnd w:id="6"/>
    <w:p w:rsidR="001F15A1" w:rsidRDefault="00A32150" w:rsidP="00B01DCF">
      <w:pPr>
        <w:pStyle w:val="Odstavekseznama"/>
        <w:numPr>
          <w:ilvl w:val="0"/>
          <w:numId w:val="26"/>
        </w:numPr>
      </w:pPr>
      <w:r>
        <w:rPr>
          <w:lang w:val="en-GB"/>
        </w:rPr>
        <w:t>The previous paragraph notwithstanding, the generalised market value, which is determined by means of a mass valuation approach pursuant to the law governing mass valuation of real estate and is disclosed in real estate records managed by the Surveying and Mapping Authority of the Republic of Slovenia (hereinafter: generalised market value), may be taken into account for residential real estate for the purposes of estimating credit risk losses. In so doing the appraiser shall provide a professional opinion of the appropriateness of the generalised market value of individual items of residential real estate in the case of:</w:t>
      </w:r>
    </w:p>
    <w:p w:rsidR="001F15A1" w:rsidRDefault="001F15A1" w:rsidP="00C900A4">
      <w:pPr>
        <w:pStyle w:val="Odstavekseznama"/>
        <w:numPr>
          <w:ilvl w:val="0"/>
          <w:numId w:val="112"/>
        </w:numPr>
        <w:autoSpaceDE w:val="0"/>
        <w:autoSpaceDN w:val="0"/>
        <w:adjustRightInd w:val="0"/>
      </w:pPr>
      <w:r>
        <w:rPr>
          <w:lang w:val="en-GB"/>
        </w:rPr>
        <w:t>apartment buildings,</w:t>
      </w:r>
    </w:p>
    <w:p w:rsidR="001F15A1" w:rsidRDefault="00D95AE2" w:rsidP="00C900A4">
      <w:pPr>
        <w:pStyle w:val="Odstavekseznama"/>
        <w:numPr>
          <w:ilvl w:val="0"/>
          <w:numId w:val="112"/>
        </w:numPr>
        <w:autoSpaceDE w:val="0"/>
        <w:autoSpaceDN w:val="0"/>
        <w:adjustRightInd w:val="0"/>
      </w:pPr>
      <w:r>
        <w:rPr>
          <w:lang w:val="en-GB"/>
        </w:rPr>
        <w:t>residential properties with a value of EUR 250,000 or more,</w:t>
      </w:r>
    </w:p>
    <w:p w:rsidR="001F15A1" w:rsidRDefault="0054776E" w:rsidP="00C900A4">
      <w:pPr>
        <w:pStyle w:val="Odstavekseznama"/>
        <w:numPr>
          <w:ilvl w:val="0"/>
          <w:numId w:val="112"/>
        </w:numPr>
        <w:autoSpaceDE w:val="0"/>
        <w:autoSpaceDN w:val="0"/>
        <w:adjustRightInd w:val="0"/>
      </w:pPr>
      <w:r>
        <w:rPr>
          <w:lang w:val="en-GB"/>
        </w:rPr>
        <w:t>residential real estate serving as collateral for non-performing exposures.</w:t>
      </w:r>
    </w:p>
    <w:p w:rsidR="00D95AE2" w:rsidRPr="001F15A1" w:rsidRDefault="00665053" w:rsidP="00436F13">
      <w:pPr>
        <w:autoSpaceDE w:val="0"/>
        <w:autoSpaceDN w:val="0"/>
        <w:adjustRightInd w:val="0"/>
        <w:ind w:left="360"/>
      </w:pPr>
      <w:r>
        <w:rPr>
          <w:lang w:val="en-GB"/>
        </w:rPr>
        <w:t xml:space="preserve">If the appraiser assesses the generalised market value of the real estate to be inappropriate with regard to its attributes, the real estate shall be valued at its market value as defined in the second paragraph of this article. </w:t>
      </w:r>
    </w:p>
    <w:p w:rsidR="00D95AE2" w:rsidRPr="004F437B" w:rsidRDefault="00D95AE2" w:rsidP="000535E2">
      <w:pPr>
        <w:pStyle w:val="Odstavekseznama"/>
        <w:autoSpaceDE w:val="0"/>
        <w:autoSpaceDN w:val="0"/>
        <w:adjustRightInd w:val="0"/>
        <w:ind w:left="360"/>
        <w:rPr>
          <w:highlight w:val="yellow"/>
        </w:rPr>
      </w:pPr>
    </w:p>
    <w:p w:rsidR="000B7552" w:rsidRPr="001F15A1" w:rsidRDefault="000B7552" w:rsidP="002D7865">
      <w:pPr>
        <w:pStyle w:val="Odstavekseznama"/>
        <w:numPr>
          <w:ilvl w:val="0"/>
          <w:numId w:val="26"/>
        </w:numPr>
      </w:pPr>
      <w:bookmarkStart w:id="7" w:name="_Ref345797480"/>
      <w:r>
        <w:rPr>
          <w:lang w:val="en-GB"/>
        </w:rPr>
        <w:t>The appraiser’s professional opinion of the appropriateness of the generalised market value referred to in the third paragraph of this article shall be formulated in written form and shall contain at least the following:</w:t>
      </w:r>
    </w:p>
    <w:p w:rsidR="000B7552" w:rsidRPr="001F15A1" w:rsidRDefault="000B7552" w:rsidP="000535E2">
      <w:pPr>
        <w:pStyle w:val="Odstavekseznama"/>
        <w:numPr>
          <w:ilvl w:val="0"/>
          <w:numId w:val="112"/>
        </w:numPr>
        <w:autoSpaceDE w:val="0"/>
        <w:autoSpaceDN w:val="0"/>
        <w:adjustRightInd w:val="0"/>
      </w:pPr>
      <w:r>
        <w:rPr>
          <w:lang w:val="en-GB"/>
        </w:rPr>
        <w:t>the appraiser’s first name and surname,</w:t>
      </w:r>
    </w:p>
    <w:p w:rsidR="000B7552" w:rsidRPr="001F15A1" w:rsidRDefault="000B7552" w:rsidP="000535E2">
      <w:pPr>
        <w:pStyle w:val="Odstavekseznama"/>
        <w:numPr>
          <w:ilvl w:val="0"/>
          <w:numId w:val="112"/>
        </w:numPr>
        <w:autoSpaceDE w:val="0"/>
        <w:autoSpaceDN w:val="0"/>
        <w:adjustRightInd w:val="0"/>
      </w:pPr>
      <w:r>
        <w:rPr>
          <w:lang w:val="en-GB"/>
        </w:rPr>
        <w:t>the date of the review of the generalised market value,</w:t>
      </w:r>
    </w:p>
    <w:p w:rsidR="000B7552" w:rsidRPr="001F15A1" w:rsidRDefault="000B7552" w:rsidP="000535E2">
      <w:pPr>
        <w:pStyle w:val="Odstavekseznama"/>
        <w:numPr>
          <w:ilvl w:val="0"/>
          <w:numId w:val="112"/>
        </w:numPr>
        <w:autoSpaceDE w:val="0"/>
        <w:autoSpaceDN w:val="0"/>
        <w:adjustRightInd w:val="0"/>
      </w:pPr>
      <w:r>
        <w:rPr>
          <w:lang w:val="en-GB"/>
        </w:rPr>
        <w:t>a statement of review of data on the real estate in the real estate register of the Surveying and Mapping Authority of the Republic of Slovenia and other public records,</w:t>
      </w:r>
    </w:p>
    <w:p w:rsidR="002D7865" w:rsidRPr="001F15A1" w:rsidRDefault="008A1C2A" w:rsidP="000535E2">
      <w:pPr>
        <w:pStyle w:val="Odstavekseznama"/>
        <w:numPr>
          <w:ilvl w:val="0"/>
          <w:numId w:val="112"/>
        </w:numPr>
        <w:autoSpaceDE w:val="0"/>
        <w:autoSpaceDN w:val="0"/>
        <w:adjustRightInd w:val="0"/>
      </w:pPr>
      <w:r>
        <w:rPr>
          <w:lang w:val="en-GB"/>
        </w:rPr>
        <w:t xml:space="preserve">a list of the basic attributes of the real estate, </w:t>
      </w:r>
    </w:p>
    <w:p w:rsidR="008A1C2A" w:rsidRPr="001F15A1" w:rsidRDefault="008A1C2A" w:rsidP="000535E2">
      <w:pPr>
        <w:pStyle w:val="Odstavekseznama"/>
        <w:numPr>
          <w:ilvl w:val="0"/>
          <w:numId w:val="112"/>
        </w:numPr>
        <w:autoSpaceDE w:val="0"/>
        <w:autoSpaceDN w:val="0"/>
        <w:adjustRightInd w:val="0"/>
      </w:pPr>
      <w:r>
        <w:rPr>
          <w:lang w:val="en-GB"/>
        </w:rPr>
        <w:t>analysis using the sales comparison approach,</w:t>
      </w:r>
    </w:p>
    <w:p w:rsidR="000B7552" w:rsidRPr="001F15A1" w:rsidRDefault="007A3874" w:rsidP="000535E2">
      <w:pPr>
        <w:pStyle w:val="Odstavekseznama"/>
        <w:numPr>
          <w:ilvl w:val="0"/>
          <w:numId w:val="112"/>
        </w:numPr>
      </w:pPr>
      <w:r>
        <w:rPr>
          <w:lang w:val="en-GB"/>
        </w:rPr>
        <w:t>the appraiser’s declaration of the appropriateness of the generalised market value of the real estate.</w:t>
      </w:r>
      <w:r>
        <w:rPr>
          <w:lang w:val="en-GB"/>
        </w:rPr>
        <w:tab/>
      </w:r>
    </w:p>
    <w:p w:rsidR="000B7552" w:rsidRPr="00091B26" w:rsidRDefault="000B7552" w:rsidP="000B7552">
      <w:pPr>
        <w:pStyle w:val="Odstavekseznama"/>
        <w:ind w:left="360" w:firstLine="0"/>
      </w:pPr>
    </w:p>
    <w:p w:rsidR="004473C0" w:rsidRPr="0016717A" w:rsidRDefault="004473C0" w:rsidP="00EB7B3A">
      <w:pPr>
        <w:pStyle w:val="Odstavekseznama"/>
        <w:numPr>
          <w:ilvl w:val="0"/>
          <w:numId w:val="26"/>
        </w:numPr>
      </w:pPr>
      <w:r>
        <w:rPr>
          <w:lang w:val="en-GB"/>
        </w:rPr>
        <w:t xml:space="preserve">When estimating credit risk losses, the bank shall only take account of the value of the real estate collateral that remains after offsetting the amounts of all the liabilities whose settlement is secured by the same real estate and that are entered in the land register under the real estate in question with a higher priority (seniority), and after offsetting a proportionate amount of those liabilities that are entered in the land register under the real estate in question with the same priority. </w:t>
      </w:r>
    </w:p>
    <w:p w:rsidR="004473C0" w:rsidRPr="0016717A" w:rsidRDefault="004473C0" w:rsidP="004473C0">
      <w:pPr>
        <w:pStyle w:val="Odstavekseznama"/>
        <w:ind w:left="360"/>
      </w:pPr>
    </w:p>
    <w:p w:rsidR="00DB2D2F" w:rsidRPr="00A06B0F" w:rsidRDefault="004473C0" w:rsidP="00EB7B3A">
      <w:pPr>
        <w:pStyle w:val="Odstavekseznama"/>
        <w:numPr>
          <w:ilvl w:val="0"/>
          <w:numId w:val="26"/>
        </w:numPr>
      </w:pPr>
      <w:r>
        <w:rPr>
          <w:lang w:val="en-GB"/>
        </w:rPr>
        <w:t>While the real estate collateral is valid, the bank shall regularly monitor the value of the real estate as follows:</w:t>
      </w:r>
    </w:p>
    <w:p w:rsidR="003E4A72" w:rsidRDefault="003E4A72" w:rsidP="00ED68C6">
      <w:pPr>
        <w:pStyle w:val="Odstavekseznama"/>
        <w:numPr>
          <w:ilvl w:val="0"/>
          <w:numId w:val="112"/>
        </w:numPr>
        <w:autoSpaceDE w:val="0"/>
        <w:autoSpaceDN w:val="0"/>
        <w:adjustRightInd w:val="0"/>
      </w:pPr>
      <w:r>
        <w:rPr>
          <w:lang w:val="en-GB"/>
        </w:rPr>
        <w:t>at least once a year in the case of commercial real estate;</w:t>
      </w:r>
    </w:p>
    <w:p w:rsidR="003E4A72" w:rsidRDefault="003E4A72" w:rsidP="00ED68C6">
      <w:pPr>
        <w:pStyle w:val="Odstavekseznama"/>
        <w:numPr>
          <w:ilvl w:val="0"/>
          <w:numId w:val="112"/>
        </w:numPr>
        <w:autoSpaceDE w:val="0"/>
        <w:autoSpaceDN w:val="0"/>
        <w:adjustRightInd w:val="0"/>
      </w:pPr>
      <w:r>
        <w:rPr>
          <w:lang w:val="en-GB"/>
        </w:rPr>
        <w:t>at least once a year in the case of residential real estate serving as collateral for non-performing exposures;</w:t>
      </w:r>
    </w:p>
    <w:p w:rsidR="00DB2D2F" w:rsidRDefault="004473C0" w:rsidP="00ED68C6">
      <w:pPr>
        <w:pStyle w:val="Odstavekseznama"/>
        <w:numPr>
          <w:ilvl w:val="0"/>
          <w:numId w:val="112"/>
        </w:numPr>
        <w:autoSpaceDE w:val="0"/>
        <w:autoSpaceDN w:val="0"/>
        <w:adjustRightInd w:val="0"/>
      </w:pPr>
      <w:r>
        <w:rPr>
          <w:lang w:val="en-GB"/>
        </w:rPr>
        <w:t xml:space="preserve">at least once every three years in the case of other residential real estate. </w:t>
      </w:r>
    </w:p>
    <w:p w:rsidR="00DB2D2F" w:rsidRDefault="00DB2D2F" w:rsidP="003E4A72">
      <w:pPr>
        <w:pStyle w:val="Odstavekseznama"/>
        <w:ind w:left="360" w:firstLine="0"/>
      </w:pPr>
    </w:p>
    <w:p w:rsidR="004473C0" w:rsidRPr="00F971D0" w:rsidRDefault="00A06B0F" w:rsidP="00DB2D2F">
      <w:pPr>
        <w:pStyle w:val="Odstavekseznama"/>
        <w:numPr>
          <w:ilvl w:val="0"/>
          <w:numId w:val="26"/>
        </w:numPr>
      </w:pPr>
      <w:r>
        <w:rPr>
          <w:lang w:val="en-GB"/>
        </w:rPr>
        <w:t xml:space="preserve">The sixth paragraph of this article notwithstanding, the bank shall monitor the value of real estate more frequently whenever there is a significant change in market conditions and/or whenever there are signs of a material decline in the value of individual real estate collateral. </w:t>
      </w:r>
      <w:bookmarkEnd w:id="7"/>
      <w:r>
        <w:rPr>
          <w:lang w:val="en-GB"/>
        </w:rPr>
        <w:t xml:space="preserve">The bank shall define a quantitative threshold of material decline in the value of credit protection for each type of real estate that it accepts as collateral for the repayment of exposures in its real estate collateral valuation methodology. </w:t>
      </w:r>
    </w:p>
    <w:p w:rsidR="004473C0" w:rsidRPr="009E2072" w:rsidRDefault="004473C0" w:rsidP="004473C0">
      <w:pPr>
        <w:pStyle w:val="Odstavekseznama"/>
        <w:ind w:left="360"/>
      </w:pPr>
    </w:p>
    <w:p w:rsidR="004473C0" w:rsidRPr="009E2072" w:rsidRDefault="004473C0" w:rsidP="00EB7B3A">
      <w:pPr>
        <w:pStyle w:val="Odstavekseznama"/>
        <w:numPr>
          <w:ilvl w:val="0"/>
          <w:numId w:val="26"/>
        </w:numPr>
      </w:pPr>
      <w:r>
        <w:rPr>
          <w:lang w:val="en-GB"/>
        </w:rPr>
        <w:t xml:space="preserve">The bank may use statistical methods to monitor the value of real estate serving as collateral, and to identify real estate that needs revaluation. </w:t>
      </w:r>
    </w:p>
    <w:p w:rsidR="004473C0" w:rsidRPr="009E2072" w:rsidRDefault="004473C0" w:rsidP="004473C0">
      <w:pPr>
        <w:pStyle w:val="Odstavekseznama"/>
        <w:ind w:left="360" w:firstLine="0"/>
      </w:pPr>
    </w:p>
    <w:p w:rsidR="004473C0" w:rsidRPr="00C900A4" w:rsidRDefault="004473C0" w:rsidP="00EB7B3A">
      <w:pPr>
        <w:pStyle w:val="Odstavekseznama"/>
        <w:numPr>
          <w:ilvl w:val="0"/>
          <w:numId w:val="26"/>
        </w:numPr>
      </w:pPr>
      <w:r>
        <w:rPr>
          <w:lang w:val="en-GB"/>
        </w:rPr>
        <w:t>A reassessment of the market value of real estate, which shall be undertaken by an appraiser, shall be obtained by the bank in the following cases:</w:t>
      </w:r>
    </w:p>
    <w:p w:rsidR="004473C0" w:rsidRPr="00C900A4" w:rsidRDefault="004473C0" w:rsidP="00EB7B3A">
      <w:pPr>
        <w:pStyle w:val="Odstavekseznama"/>
        <w:numPr>
          <w:ilvl w:val="0"/>
          <w:numId w:val="24"/>
        </w:numPr>
      </w:pPr>
      <w:r>
        <w:rPr>
          <w:lang w:val="en-GB"/>
        </w:rPr>
        <w:t>whenever the information at the bank’s disposal indicates that the value of the real estate may have materially declined relative to the general level of market prices;</w:t>
      </w:r>
    </w:p>
    <w:p w:rsidR="004473C0" w:rsidRPr="00C900A4" w:rsidRDefault="004473C0" w:rsidP="00EB7B3A">
      <w:pPr>
        <w:numPr>
          <w:ilvl w:val="0"/>
          <w:numId w:val="24"/>
        </w:numPr>
        <w:autoSpaceDE w:val="0"/>
        <w:autoSpaceDN w:val="0"/>
        <w:adjustRightInd w:val="0"/>
      </w:pPr>
      <w:r>
        <w:rPr>
          <w:lang w:val="en-GB"/>
        </w:rPr>
        <w:t>at least once every three years for real estate serving as collateral for an exposure that exceeds EUR 3 million or 5% of the bank’s capital.</w:t>
      </w:r>
    </w:p>
    <w:p w:rsidR="00C900A4" w:rsidRPr="004F437B" w:rsidRDefault="00C900A4" w:rsidP="00436F13">
      <w:pPr>
        <w:autoSpaceDE w:val="0"/>
        <w:autoSpaceDN w:val="0"/>
        <w:adjustRightInd w:val="0"/>
        <w:ind w:left="720"/>
        <w:rPr>
          <w:highlight w:val="yellow"/>
        </w:rPr>
      </w:pPr>
    </w:p>
    <w:p w:rsidR="001E0CEB" w:rsidRPr="00F1268A" w:rsidRDefault="001E0CEB" w:rsidP="001E0CEB">
      <w:pPr>
        <w:pStyle w:val="Odstavekseznama"/>
        <w:numPr>
          <w:ilvl w:val="0"/>
          <w:numId w:val="26"/>
        </w:numPr>
      </w:pPr>
      <w:r>
        <w:rPr>
          <w:lang w:val="en-GB"/>
        </w:rPr>
        <w:t>The bank shall formulate a policy and a procedure for regularly vetting the independence and qualifications of appraisers and the quality of valuations. The quality assurance process shall be carried out by a risk management unit that is independent of credit approval, credit monitoring and assessment of client creditworthiness. The result of the quality assurance process is an appropriately approved list of appraisers, which shall be updated regularly.</w:t>
      </w:r>
    </w:p>
    <w:p w:rsidR="009565BE" w:rsidRDefault="009565BE" w:rsidP="009565BE">
      <w:pPr>
        <w:pStyle w:val="Odstavekseznama"/>
        <w:ind w:left="360" w:firstLine="0"/>
      </w:pPr>
    </w:p>
    <w:p w:rsidR="004473C0" w:rsidRPr="00241FDB" w:rsidRDefault="003A5CB7" w:rsidP="004D0C7B">
      <w:pPr>
        <w:jc w:val="center"/>
        <w:rPr>
          <w:bCs/>
          <w:szCs w:val="22"/>
        </w:rPr>
      </w:pPr>
      <w:r>
        <w:rPr>
          <w:szCs w:val="22"/>
          <w:lang w:val="en-GB"/>
        </w:rPr>
        <w:t>Article 24</w:t>
      </w:r>
    </w:p>
    <w:p w:rsidR="004473C0" w:rsidRDefault="004473C0" w:rsidP="004473C0">
      <w:pPr>
        <w:autoSpaceDE w:val="0"/>
        <w:autoSpaceDN w:val="0"/>
        <w:adjustRightInd w:val="0"/>
        <w:jc w:val="center"/>
      </w:pPr>
      <w:r>
        <w:rPr>
          <w:lang w:val="en-GB"/>
        </w:rPr>
        <w:t>(</w:t>
      </w:r>
      <w:proofErr w:type="gramStart"/>
      <w:r>
        <w:rPr>
          <w:lang w:val="en-GB"/>
        </w:rPr>
        <w:t>movable</w:t>
      </w:r>
      <w:proofErr w:type="gramEnd"/>
      <w:r>
        <w:rPr>
          <w:lang w:val="en-GB"/>
        </w:rPr>
        <w:t xml:space="preserve"> property collateral)</w:t>
      </w:r>
    </w:p>
    <w:p w:rsidR="004473C0" w:rsidRPr="009E2072" w:rsidRDefault="004473C0" w:rsidP="004473C0">
      <w:pPr>
        <w:autoSpaceDE w:val="0"/>
        <w:autoSpaceDN w:val="0"/>
        <w:adjustRightInd w:val="0"/>
        <w:ind w:left="340"/>
      </w:pPr>
    </w:p>
    <w:p w:rsidR="004473C0" w:rsidRPr="00637ABE" w:rsidRDefault="00B92B4F" w:rsidP="00EB7B3A">
      <w:pPr>
        <w:pStyle w:val="Odstavekseznama"/>
        <w:numPr>
          <w:ilvl w:val="0"/>
          <w:numId w:val="27"/>
        </w:numPr>
      </w:pPr>
      <w:r>
        <w:rPr>
          <w:lang w:val="en-GB"/>
        </w:rPr>
        <w:t xml:space="preserve">In estimating credit risk losses a bank shall take account of movable property collateral if, in addition to the general requirements set out in Article </w:t>
      </w:r>
      <w:r>
        <w:rPr>
          <w:lang w:val="en-GB"/>
        </w:rPr>
        <w:fldChar w:fldCharType="begin"/>
      </w:r>
      <w:r>
        <w:rPr>
          <w:lang w:val="en-GB"/>
        </w:rPr>
        <w:instrText xml:space="preserve"> REF _Ref492997118 \r \h  \* MERGEFORMAT </w:instrText>
      </w:r>
      <w:r>
        <w:rPr>
          <w:lang w:val="en-GB"/>
        </w:rPr>
      </w:r>
      <w:r>
        <w:rPr>
          <w:lang w:val="en-GB"/>
        </w:rPr>
        <w:fldChar w:fldCharType="separate"/>
      </w:r>
      <w:r>
        <w:rPr>
          <w:lang w:val="en-GB"/>
        </w:rPr>
        <w:t>21</w:t>
      </w:r>
      <w:r>
        <w:rPr>
          <w:lang w:val="en-GB"/>
        </w:rPr>
        <w:fldChar w:fldCharType="end"/>
      </w:r>
      <w:r>
        <w:rPr>
          <w:lang w:val="en-GB"/>
        </w:rPr>
        <w:t xml:space="preserve"> of this regulation, at least the following conditions are met:</w:t>
      </w:r>
    </w:p>
    <w:p w:rsidR="004473C0" w:rsidRPr="00637ABE" w:rsidRDefault="004473C0" w:rsidP="00EB7B3A">
      <w:pPr>
        <w:numPr>
          <w:ilvl w:val="0"/>
          <w:numId w:val="22"/>
        </w:numPr>
      </w:pPr>
      <w:r>
        <w:rPr>
          <w:lang w:val="en-GB"/>
        </w:rPr>
        <w:t>for the movable property serving as collateral there are publicly available market prices that come from reliable information sources (e.g. public indices, price lists or catalogues) and reflect the price of transactions in normal conditions;</w:t>
      </w:r>
    </w:p>
    <w:p w:rsidR="004473C0" w:rsidRPr="00637ABE" w:rsidRDefault="004473C0" w:rsidP="00EB7B3A">
      <w:pPr>
        <w:numPr>
          <w:ilvl w:val="0"/>
          <w:numId w:val="22"/>
        </w:numPr>
      </w:pPr>
      <w:r>
        <w:rPr>
          <w:lang w:val="en-GB"/>
        </w:rPr>
        <w:t xml:space="preserve">the bank has priority over other creditors in the realisation of the collateral, by means of an exclusive exemption from the rights of senior creditors set out by legislative regulations; </w:t>
      </w:r>
    </w:p>
    <w:p w:rsidR="004473C0" w:rsidRPr="00637ABE" w:rsidRDefault="004473C0" w:rsidP="00EB7B3A">
      <w:pPr>
        <w:numPr>
          <w:ilvl w:val="0"/>
          <w:numId w:val="22"/>
        </w:numPr>
      </w:pPr>
      <w:r>
        <w:rPr>
          <w:lang w:val="en-GB"/>
        </w:rPr>
        <w:t xml:space="preserve">the bank regularly monitors the value of the movable property serving as collateral, at least once a year, or more frequently in the event of significant changes on the market; </w:t>
      </w:r>
    </w:p>
    <w:p w:rsidR="004473C0" w:rsidRPr="00637ABE" w:rsidRDefault="004473C0" w:rsidP="00EB7B3A">
      <w:pPr>
        <w:numPr>
          <w:ilvl w:val="0"/>
          <w:numId w:val="22"/>
        </w:numPr>
      </w:pPr>
      <w:r>
        <w:rPr>
          <w:lang w:val="en-GB"/>
        </w:rPr>
        <w:t xml:space="preserve">the bank takes full account of the potential deterioration or obsolescence of the movable property serving as collateral during valuation and revaluation; </w:t>
      </w:r>
    </w:p>
    <w:p w:rsidR="004473C0" w:rsidRPr="00637ABE" w:rsidRDefault="004473C0" w:rsidP="00EB7B3A">
      <w:pPr>
        <w:numPr>
          <w:ilvl w:val="0"/>
          <w:numId w:val="22"/>
        </w:numPr>
      </w:pPr>
      <w:r>
        <w:rPr>
          <w:lang w:val="en-GB"/>
        </w:rPr>
        <w:t>the movable property serving as collateral is appropriately insured against damage, and the bank has put in place control procedures with regard to the adequacy of that insurance;</w:t>
      </w:r>
    </w:p>
    <w:p w:rsidR="004473C0" w:rsidRPr="00637ABE" w:rsidRDefault="004473C0" w:rsidP="00EB7B3A">
      <w:pPr>
        <w:numPr>
          <w:ilvl w:val="0"/>
          <w:numId w:val="22"/>
        </w:numPr>
      </w:pPr>
      <w:r>
        <w:rPr>
          <w:lang w:val="en-GB"/>
        </w:rPr>
        <w:t xml:space="preserve">the collateral is entered in the register of non-possessory liens and goods in distraint pursuant to the Decree on the register of non-possessory liens and goods in distraint (Official Gazette of the Republic of Slovenia, Nos. 23/04, 66/06, 16/08, 62/11 and 87/15) or in a similar register pursuant to substantively equivalent regulations of other countries, except when the bank owns the movable property. </w:t>
      </w:r>
    </w:p>
    <w:p w:rsidR="004473C0" w:rsidRDefault="004473C0" w:rsidP="004473C0">
      <w:pPr>
        <w:autoSpaceDE w:val="0"/>
        <w:autoSpaceDN w:val="0"/>
        <w:adjustRightInd w:val="0"/>
      </w:pPr>
    </w:p>
    <w:p w:rsidR="00A150C0" w:rsidRPr="00241FDB" w:rsidRDefault="003A5CB7" w:rsidP="004D0C7B">
      <w:pPr>
        <w:keepNext/>
        <w:jc w:val="center"/>
        <w:rPr>
          <w:bCs/>
          <w:szCs w:val="22"/>
        </w:rPr>
      </w:pPr>
      <w:r>
        <w:rPr>
          <w:szCs w:val="22"/>
          <w:lang w:val="en-GB"/>
        </w:rPr>
        <w:t>Article 25</w:t>
      </w:r>
    </w:p>
    <w:p w:rsidR="00A150C0" w:rsidRDefault="00A150C0" w:rsidP="008A27B1">
      <w:pPr>
        <w:keepNext/>
        <w:autoSpaceDE w:val="0"/>
        <w:autoSpaceDN w:val="0"/>
        <w:adjustRightInd w:val="0"/>
        <w:jc w:val="center"/>
      </w:pPr>
      <w:r>
        <w:rPr>
          <w:lang w:val="en-GB"/>
        </w:rPr>
        <w:t>(</w:t>
      </w:r>
      <w:proofErr w:type="gramStart"/>
      <w:r>
        <w:rPr>
          <w:lang w:val="en-GB"/>
        </w:rPr>
        <w:t>consideration</w:t>
      </w:r>
      <w:proofErr w:type="gramEnd"/>
      <w:r>
        <w:rPr>
          <w:lang w:val="en-GB"/>
        </w:rPr>
        <w:t xml:space="preserve"> of credit protection in estimation of credit risk losses)</w:t>
      </w:r>
    </w:p>
    <w:p w:rsidR="004473C0" w:rsidRDefault="004473C0" w:rsidP="008A27B1">
      <w:pPr>
        <w:keepNext/>
        <w:autoSpaceDE w:val="0"/>
        <w:autoSpaceDN w:val="0"/>
        <w:adjustRightInd w:val="0"/>
      </w:pPr>
    </w:p>
    <w:p w:rsidR="004473C0" w:rsidRPr="00DB4188" w:rsidRDefault="004473C0" w:rsidP="008A27B1">
      <w:pPr>
        <w:pStyle w:val="Odstavekseznama"/>
        <w:keepNext/>
        <w:numPr>
          <w:ilvl w:val="0"/>
          <w:numId w:val="19"/>
        </w:numPr>
      </w:pPr>
      <w:r>
        <w:rPr>
          <w:lang w:val="en-GB"/>
        </w:rPr>
        <w:t>In the estimation of credit risk losses for the purpose of creating value adjustments and provisions, a bank shall take account of credit protection in accordance with the provisions of this section.</w:t>
      </w:r>
    </w:p>
    <w:p w:rsidR="004473C0" w:rsidRDefault="004473C0" w:rsidP="004473C0">
      <w:pPr>
        <w:pStyle w:val="Odstavekseznama"/>
        <w:ind w:left="360"/>
      </w:pPr>
    </w:p>
    <w:p w:rsidR="004473C0" w:rsidRPr="009E2072" w:rsidRDefault="00C53138" w:rsidP="00C53138">
      <w:pPr>
        <w:pStyle w:val="Odstavekseznama"/>
        <w:numPr>
          <w:ilvl w:val="0"/>
          <w:numId w:val="19"/>
        </w:numPr>
      </w:pPr>
      <w:r>
        <w:rPr>
          <w:lang w:val="en-GB"/>
        </w:rPr>
        <w:t>In the estimation of future cash flows from the realisation of credit protection, the bank shall take account of the value of the credit protection, the relevant haircuts, the period to realisation, the liquidation or selling costs, whether the sale of collateral is voluntary or forcible, etc. The assumptions applied shall be realistic, and based on empirical data, and shall take account of current and future market conditions. The bank shall appropriately document those assumptions, and shall verify them regularly.</w:t>
      </w:r>
    </w:p>
    <w:p w:rsidR="004473C0" w:rsidRPr="009E2072" w:rsidRDefault="004473C0" w:rsidP="004473C0">
      <w:pPr>
        <w:pStyle w:val="Odstavekseznama"/>
        <w:ind w:left="360"/>
      </w:pPr>
    </w:p>
    <w:p w:rsidR="004473C0" w:rsidRPr="00637ABE" w:rsidRDefault="00C53138" w:rsidP="00EB7B3A">
      <w:pPr>
        <w:pStyle w:val="Odstavekseznama"/>
        <w:numPr>
          <w:ilvl w:val="0"/>
          <w:numId w:val="19"/>
        </w:numPr>
      </w:pPr>
      <w:r>
        <w:rPr>
          <w:lang w:val="en-GB"/>
        </w:rPr>
        <w:t>A period of no less than four years shall be taken into account as the credit protection realisation period when estimating expected cash flows from the realisation of real estate collateral, unless the bank can prove that the aforementioned period is shorter on the basis of its own data and appropriate analysis or on the basis of other data sources.</w:t>
      </w:r>
    </w:p>
    <w:p w:rsidR="004473C0" w:rsidRPr="00C64CA5" w:rsidRDefault="004473C0" w:rsidP="004473C0">
      <w:pPr>
        <w:pStyle w:val="Odstavekseznama"/>
        <w:ind w:left="360"/>
      </w:pPr>
    </w:p>
    <w:p w:rsidR="004473C0" w:rsidRPr="00DB4188" w:rsidRDefault="004473C0" w:rsidP="00EB7B3A">
      <w:pPr>
        <w:pStyle w:val="Odstavekseznama"/>
        <w:numPr>
          <w:ilvl w:val="0"/>
          <w:numId w:val="19"/>
        </w:numPr>
      </w:pPr>
      <w:r>
        <w:rPr>
          <w:lang w:val="en-GB"/>
        </w:rPr>
        <w:t>The banks shall put in place appropriate records of realised credit protection for individual types of credit protection.</w:t>
      </w:r>
    </w:p>
    <w:p w:rsidR="00A150C0" w:rsidRDefault="00A150C0" w:rsidP="00A150C0">
      <w:pPr>
        <w:autoSpaceDE w:val="0"/>
        <w:autoSpaceDN w:val="0"/>
        <w:adjustRightInd w:val="0"/>
      </w:pPr>
    </w:p>
    <w:p w:rsidR="0038409F" w:rsidRDefault="0038409F" w:rsidP="00A150C0">
      <w:pPr>
        <w:autoSpaceDE w:val="0"/>
        <w:autoSpaceDN w:val="0"/>
        <w:adjustRightInd w:val="0"/>
      </w:pPr>
    </w:p>
    <w:p w:rsidR="0038409F" w:rsidRPr="00A47BBB" w:rsidRDefault="0038409F" w:rsidP="0020643C">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CREATION OF VALUE ADJUSTMENTS AND PROVISIONS</w:t>
      </w:r>
    </w:p>
    <w:p w:rsidR="0038409F" w:rsidRDefault="0038409F" w:rsidP="0038409F">
      <w:pPr>
        <w:ind w:firstLine="360"/>
      </w:pPr>
    </w:p>
    <w:p w:rsidR="003A5CB7" w:rsidRPr="00241FDB" w:rsidRDefault="00215D6B" w:rsidP="004D0C7B">
      <w:pPr>
        <w:jc w:val="center"/>
        <w:rPr>
          <w:bCs/>
          <w:szCs w:val="22"/>
        </w:rPr>
      </w:pPr>
      <w:r>
        <w:rPr>
          <w:szCs w:val="22"/>
          <w:lang w:val="en-GB"/>
        </w:rPr>
        <w:t>Article 26</w:t>
      </w:r>
    </w:p>
    <w:p w:rsidR="003A5CB7" w:rsidRDefault="003A5CB7" w:rsidP="003A5CB7">
      <w:pPr>
        <w:autoSpaceDE w:val="0"/>
        <w:autoSpaceDN w:val="0"/>
        <w:adjustRightInd w:val="0"/>
        <w:jc w:val="center"/>
      </w:pPr>
      <w:r>
        <w:rPr>
          <w:lang w:val="en-GB"/>
        </w:rPr>
        <w:t>(</w:t>
      </w:r>
      <w:proofErr w:type="gramStart"/>
      <w:r>
        <w:rPr>
          <w:lang w:val="en-GB"/>
        </w:rPr>
        <w:t>creation</w:t>
      </w:r>
      <w:proofErr w:type="gramEnd"/>
      <w:r>
        <w:rPr>
          <w:lang w:val="en-GB"/>
        </w:rPr>
        <w:t xml:space="preserve"> of value adjustments and provisions in accordance with IFRS)</w:t>
      </w:r>
    </w:p>
    <w:p w:rsidR="003A5CB7" w:rsidRDefault="003A5CB7" w:rsidP="0038409F">
      <w:pPr>
        <w:ind w:firstLine="360"/>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A bank shall put in place a process for the timely creation of value adjustments and provisions for credit risk losses with regard to the credit quality of the debtors or exposures in the credit portfolio.</w:t>
      </w:r>
    </w:p>
    <w:p w:rsidR="0038409F" w:rsidRPr="0038409F" w:rsidRDefault="0038409F" w:rsidP="0038409F">
      <w:pPr>
        <w:pStyle w:val="Odstavekseznama"/>
        <w:ind w:left="360" w:firstLine="0"/>
        <w:rPr>
          <w:highlight w:val="lightGray"/>
        </w:rPr>
      </w:pPr>
    </w:p>
    <w:p w:rsidR="00EE0C8A" w:rsidRDefault="0038409F" w:rsidP="0038409F">
      <w:pPr>
        <w:pStyle w:val="Odstavekseznama"/>
        <w:numPr>
          <w:ilvl w:val="0"/>
          <w:numId w:val="75"/>
        </w:numPr>
        <w:tabs>
          <w:tab w:val="left" w:pos="426"/>
        </w:tabs>
        <w:rPr>
          <w:rFonts w:eastAsiaTheme="minorHAnsi"/>
        </w:rPr>
      </w:pPr>
      <w:r>
        <w:rPr>
          <w:rFonts w:eastAsiaTheme="minorHAnsi"/>
          <w:lang w:val="en-GB"/>
        </w:rPr>
        <w:t xml:space="preserve">The bank shall formulate a methodology for the calculation of value adjustments and provisions for credit risk losses that complies with the applicable international financial reporting standards (hereinafter: the IFRS) and other relevant regulations. </w:t>
      </w:r>
    </w:p>
    <w:p w:rsidR="00EE0C8A" w:rsidRPr="00C252EE" w:rsidRDefault="00EE0C8A" w:rsidP="00EE0C8A">
      <w:pPr>
        <w:pStyle w:val="Odstavekseznama"/>
        <w:rPr>
          <w:rFonts w:eastAsiaTheme="minorHAnsi"/>
          <w:highlight w:val="yellow"/>
        </w:rPr>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The bank shall regularly monitor the coverage of exposures by value adjustments and provisions for credit risk losses with regard to the credit risk of the entire portfolio, and individual segments of the credit portfolio, most notably exposures in default.</w:t>
      </w:r>
    </w:p>
    <w:p w:rsidR="0038409F" w:rsidRPr="0038409F" w:rsidRDefault="0038409F" w:rsidP="0038409F">
      <w:pPr>
        <w:rPr>
          <w:highlight w:val="lightGray"/>
        </w:rPr>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The bank shall ensure that the process for the creation of value adjustments and provisions for credit risk losses is not the responsibility of the commercial operations unit.</w:t>
      </w:r>
    </w:p>
    <w:p w:rsidR="0038409F" w:rsidRDefault="0038409F" w:rsidP="0038409F">
      <w:pPr>
        <w:ind w:firstLine="360"/>
      </w:pPr>
    </w:p>
    <w:p w:rsidR="0038409F" w:rsidRDefault="0038409F" w:rsidP="0038409F">
      <w:pPr>
        <w:rPr>
          <w:szCs w:val="22"/>
          <w:highlight w:val="yellow"/>
        </w:rPr>
      </w:pPr>
    </w:p>
    <w:p w:rsidR="00671BCE" w:rsidRPr="00A47BBB" w:rsidRDefault="005D6548" w:rsidP="00287BEB">
      <w:pPr>
        <w:pStyle w:val="Naslov1"/>
        <w:numPr>
          <w:ilvl w:val="0"/>
          <w:numId w:val="98"/>
        </w:numPr>
        <w:jc w:val="center"/>
        <w:rPr>
          <w:rFonts w:ascii="Times New Roman" w:hAnsi="Times New Roman" w:cs="Arial"/>
          <w:i w:val="0"/>
          <w:caps/>
          <w:kern w:val="32"/>
          <w:szCs w:val="22"/>
        </w:rPr>
      </w:pPr>
      <w:bookmarkStart w:id="8" w:name="_Toc418517929"/>
      <w:r>
        <w:rPr>
          <w:rFonts w:ascii="Times New Roman" w:hAnsi="Times New Roman" w:cs="Arial"/>
          <w:bCs/>
          <w:i w:val="0"/>
          <w:caps/>
          <w:kern w:val="32"/>
          <w:szCs w:val="22"/>
          <w:lang w:val="en-GB"/>
        </w:rPr>
        <w:t>EARLY WARNING SYSTEM</w:t>
      </w:r>
    </w:p>
    <w:bookmarkEnd w:id="8"/>
    <w:p w:rsidR="005D6548" w:rsidRDefault="005D6548" w:rsidP="005D6548"/>
    <w:p w:rsidR="00EE3EA2" w:rsidRPr="00241FDB" w:rsidRDefault="00215D6B" w:rsidP="004D0C7B">
      <w:pPr>
        <w:jc w:val="center"/>
        <w:rPr>
          <w:bCs/>
          <w:szCs w:val="22"/>
        </w:rPr>
      </w:pPr>
      <w:r>
        <w:rPr>
          <w:szCs w:val="22"/>
          <w:lang w:val="en-GB"/>
        </w:rPr>
        <w:t>Article 27</w:t>
      </w:r>
    </w:p>
    <w:p w:rsidR="00EE3EA2" w:rsidRDefault="00EE3EA2" w:rsidP="00EE3EA2">
      <w:pPr>
        <w:autoSpaceDE w:val="0"/>
        <w:autoSpaceDN w:val="0"/>
        <w:adjustRightInd w:val="0"/>
        <w:jc w:val="center"/>
      </w:pPr>
      <w:r>
        <w:rPr>
          <w:lang w:val="en-GB"/>
        </w:rPr>
        <w:t>(</w:t>
      </w:r>
      <w:proofErr w:type="gramStart"/>
      <w:r>
        <w:rPr>
          <w:lang w:val="en-GB"/>
        </w:rPr>
        <w:t>early</w:t>
      </w:r>
      <w:proofErr w:type="gramEnd"/>
      <w:r>
        <w:rPr>
          <w:lang w:val="en-GB"/>
        </w:rPr>
        <w:t xml:space="preserve"> warning system)</w:t>
      </w:r>
    </w:p>
    <w:p w:rsidR="00EE3EA2" w:rsidRPr="00F83E0C" w:rsidRDefault="00EE3EA2" w:rsidP="005D6548"/>
    <w:p w:rsidR="0024210E" w:rsidRDefault="00EE626B" w:rsidP="00457CEF">
      <w:pPr>
        <w:pStyle w:val="Odstavekseznama"/>
        <w:numPr>
          <w:ilvl w:val="0"/>
          <w:numId w:val="49"/>
        </w:numPr>
      </w:pPr>
      <w:r>
        <w:rPr>
          <w:lang w:val="en-GB"/>
        </w:rPr>
        <w:t xml:space="preserve">Within the framework of the credit risk management system a bank shall put in place an early warning system (hereinafter: EWS) designed to provide early warning of increased credit risk and potential defaulters. The EWS shall ensure that: </w:t>
      </w:r>
    </w:p>
    <w:p w:rsidR="00412547" w:rsidRDefault="0024210E" w:rsidP="00C6478D">
      <w:pPr>
        <w:pStyle w:val="Odstavekseznama"/>
        <w:numPr>
          <w:ilvl w:val="0"/>
          <w:numId w:val="56"/>
        </w:numPr>
      </w:pPr>
      <w:r>
        <w:rPr>
          <w:lang w:val="en-GB"/>
        </w:rPr>
        <w:t>in the very early phase (as early as possible) potential difficulties on the part of a debtor in repaying debt are identified, and</w:t>
      </w:r>
    </w:p>
    <w:p w:rsidR="00412547" w:rsidRDefault="00412547" w:rsidP="00C6478D">
      <w:pPr>
        <w:pStyle w:val="Odstavekseznama"/>
        <w:numPr>
          <w:ilvl w:val="0"/>
          <w:numId w:val="56"/>
        </w:numPr>
      </w:pPr>
      <w:r>
        <w:rPr>
          <w:lang w:val="en-GB"/>
        </w:rPr>
        <w:t>the deterioration of the credit quality of the exposure and the transition of the exposure to default status are prevented by means of timely corrective measures and the monitoring of the implementation of such measures.</w:t>
      </w:r>
    </w:p>
    <w:p w:rsidR="00412547" w:rsidRDefault="00412547" w:rsidP="00C6478D">
      <w:pPr>
        <w:pStyle w:val="Odstavekseznama"/>
        <w:ind w:left="360" w:firstLine="0"/>
      </w:pPr>
    </w:p>
    <w:p w:rsidR="005D6548" w:rsidRPr="00F83E0C" w:rsidRDefault="00EE3EA2" w:rsidP="00EE3EA2">
      <w:pPr>
        <w:pStyle w:val="Odstavekseznama"/>
        <w:numPr>
          <w:ilvl w:val="0"/>
          <w:numId w:val="49"/>
        </w:numPr>
      </w:pPr>
      <w:r>
        <w:rPr>
          <w:lang w:val="en-GB"/>
        </w:rPr>
        <w:t>The EWS, which the bank shall set out in a special policy, shall include the following:</w:t>
      </w:r>
    </w:p>
    <w:p w:rsidR="005D6548" w:rsidRPr="00F83E0C" w:rsidRDefault="005D6548" w:rsidP="004F4A9B">
      <w:pPr>
        <w:pStyle w:val="Odstavekseznama"/>
        <w:numPr>
          <w:ilvl w:val="0"/>
          <w:numId w:val="150"/>
        </w:numPr>
      </w:pPr>
      <w:r>
        <w:rPr>
          <w:lang w:val="en-GB"/>
        </w:rPr>
        <w:t>qualitative and quantitative EWS indicators for identifying potential difficulties on the part of the debtor in repaying debt,</w:t>
      </w:r>
    </w:p>
    <w:p w:rsidR="005D6548" w:rsidRPr="00F83E0C" w:rsidRDefault="005D6548" w:rsidP="004F4A9B">
      <w:pPr>
        <w:pStyle w:val="Odstavekseznama"/>
        <w:numPr>
          <w:ilvl w:val="0"/>
          <w:numId w:val="150"/>
        </w:numPr>
      </w:pPr>
      <w:r>
        <w:rPr>
          <w:lang w:val="en-GB"/>
        </w:rPr>
        <w:t>processes for taking measures after the identification of increased credit risk,</w:t>
      </w:r>
    </w:p>
    <w:p w:rsidR="005D6548" w:rsidRPr="00077D40" w:rsidRDefault="005D6548" w:rsidP="004F4A9B">
      <w:pPr>
        <w:pStyle w:val="Odstavekseznama"/>
        <w:numPr>
          <w:ilvl w:val="0"/>
          <w:numId w:val="150"/>
        </w:numPr>
      </w:pPr>
      <w:r>
        <w:rPr>
          <w:lang w:val="en-GB"/>
        </w:rPr>
        <w:t>the monitoring of debtors with increased credit risk and the implementation of measures,</w:t>
      </w:r>
    </w:p>
    <w:p w:rsidR="00EE3731" w:rsidRPr="00077D40" w:rsidRDefault="00D3017A" w:rsidP="004F4A9B">
      <w:pPr>
        <w:pStyle w:val="Odstavekseznama"/>
        <w:numPr>
          <w:ilvl w:val="0"/>
          <w:numId w:val="150"/>
        </w:numPr>
      </w:pPr>
      <w:r>
        <w:rPr>
          <w:lang w:val="en-GB"/>
        </w:rPr>
        <w:t>information support that provides for the production of reports for analytical purposes (sensitivity analysis) and the notification of the management body and the senior management,</w:t>
      </w:r>
    </w:p>
    <w:p w:rsidR="00D3017A" w:rsidRPr="00077D40" w:rsidRDefault="00EE3731" w:rsidP="004F4A9B">
      <w:pPr>
        <w:pStyle w:val="Odstavekseznama"/>
        <w:numPr>
          <w:ilvl w:val="0"/>
          <w:numId w:val="150"/>
        </w:numPr>
      </w:pPr>
      <w:r>
        <w:rPr>
          <w:lang w:val="en-GB"/>
        </w:rPr>
        <w:t xml:space="preserve">the assurance and oversight of the quality of the early warning process, and inclusion on a watch list, </w:t>
      </w:r>
    </w:p>
    <w:p w:rsidR="002520C8" w:rsidRPr="00077D40" w:rsidRDefault="002520C8" w:rsidP="004F4A9B">
      <w:pPr>
        <w:pStyle w:val="Odstavekseznama"/>
        <w:numPr>
          <w:ilvl w:val="0"/>
          <w:numId w:val="150"/>
        </w:numPr>
      </w:pPr>
      <w:r>
        <w:rPr>
          <w:lang w:val="en-GB"/>
        </w:rPr>
        <w:t>vetting of the appropriateness of the indicators at least once a year on the basis of a defined methodology.</w:t>
      </w:r>
    </w:p>
    <w:p w:rsidR="004B7C05" w:rsidRDefault="004B7C05" w:rsidP="004D3E72">
      <w:pPr>
        <w:ind w:left="360"/>
        <w:rPr>
          <w:strike/>
        </w:rPr>
      </w:pPr>
    </w:p>
    <w:p w:rsidR="002520C8" w:rsidRDefault="00E535CC" w:rsidP="00076527">
      <w:pPr>
        <w:pStyle w:val="Odstavekseznama"/>
        <w:numPr>
          <w:ilvl w:val="0"/>
          <w:numId w:val="49"/>
        </w:numPr>
      </w:pPr>
      <w:r>
        <w:rPr>
          <w:lang w:val="en-GB"/>
        </w:rPr>
        <w:t xml:space="preserve">When there are signs of potential difficulties in the repayment of an exposure, they shall be examined by an independent unit or function within the risk management department, the ongoing monitoring department or the back-office department (the EWS unit), and on the basis of comprehensive analysis of the EWS indicators it shall decide whether it is necessary to move the exposure to the watch list and to take appropriate corrective measures with clearly defined custodians and deadlines for implementation, which shall be upheld. </w:t>
      </w:r>
    </w:p>
    <w:p w:rsidR="002520C8" w:rsidRDefault="002520C8" w:rsidP="00017A6F">
      <w:pPr>
        <w:pStyle w:val="Odstavekseznama"/>
      </w:pPr>
    </w:p>
    <w:p w:rsidR="002520C8" w:rsidRDefault="002520C8" w:rsidP="004351A9">
      <w:pPr>
        <w:pStyle w:val="Odstavekseznama"/>
        <w:numPr>
          <w:ilvl w:val="0"/>
          <w:numId w:val="49"/>
        </w:numPr>
      </w:pPr>
      <w:r>
        <w:rPr>
          <w:lang w:val="en-GB"/>
        </w:rPr>
        <w:t xml:space="preserve">For standard products or individual portfolios the bank may put in place a methodology and system for automatic classification to the watch list, and for the imposition of corrective measures on the basis of defined indicators. </w:t>
      </w:r>
    </w:p>
    <w:p w:rsidR="002520C8" w:rsidRDefault="002520C8" w:rsidP="00017A6F">
      <w:pPr>
        <w:pStyle w:val="Odstavekseznama"/>
      </w:pPr>
    </w:p>
    <w:p w:rsidR="006D6AB3" w:rsidRDefault="008F0360" w:rsidP="00076527">
      <w:pPr>
        <w:pStyle w:val="Odstavekseznama"/>
        <w:numPr>
          <w:ilvl w:val="0"/>
          <w:numId w:val="49"/>
        </w:numPr>
      </w:pPr>
      <w:r>
        <w:rPr>
          <w:lang w:val="en-GB"/>
        </w:rPr>
        <w:t xml:space="preserve">The bank shall conduct enhanced monitoring of exposures on the watch list. Corrective measures shall be implemented at the level of the group of connected clients. </w:t>
      </w:r>
    </w:p>
    <w:p w:rsidR="00076527" w:rsidRDefault="00076527" w:rsidP="00076527">
      <w:pPr>
        <w:pStyle w:val="Odstavekseznama"/>
        <w:autoSpaceDE w:val="0"/>
        <w:autoSpaceDN w:val="0"/>
        <w:adjustRightInd w:val="0"/>
        <w:ind w:left="360" w:firstLine="0"/>
      </w:pPr>
    </w:p>
    <w:p w:rsidR="004F352E" w:rsidRDefault="004B7C05" w:rsidP="00017A6F">
      <w:pPr>
        <w:pStyle w:val="Odstavekseznama"/>
        <w:numPr>
          <w:ilvl w:val="0"/>
          <w:numId w:val="49"/>
        </w:numPr>
      </w:pPr>
      <w:r>
        <w:rPr>
          <w:lang w:val="en-GB"/>
        </w:rPr>
        <w:t xml:space="preserve">The EWS indicators for classification to the watch list shall be applied at the level of the exposure or debtor, and at the level of the portfolio. </w:t>
      </w:r>
    </w:p>
    <w:p w:rsidR="004F352E" w:rsidRDefault="004F352E" w:rsidP="004F352E">
      <w:pPr>
        <w:pStyle w:val="Odstavekseznama"/>
      </w:pPr>
    </w:p>
    <w:p w:rsidR="006C79A2" w:rsidRDefault="00076527" w:rsidP="00017A6F">
      <w:pPr>
        <w:pStyle w:val="Odstavekseznama"/>
        <w:numPr>
          <w:ilvl w:val="0"/>
          <w:numId w:val="49"/>
        </w:numPr>
      </w:pPr>
      <w:r>
        <w:rPr>
          <w:lang w:val="en-GB"/>
        </w:rPr>
        <w:t xml:space="preserve">The bank shall define the period within which a decision with regard to the further treatment of a debtor or exposure on the watch list is to be taken. When an exposure on the watch list does not transition to default status, the bank shall set out a maximum period within which an individual exposure may be on the watch list. After the end of this period the exposure shall be withdrawn from the watch list; if the quality of the exposure further deteriorates, the exposure shall be transferred to the unit responsible for problem exposures. Successful fulfilment of corrective measures may also be treated as the end of the period on the watch list. In designing appropriate timeframes for the completion of corrective measures, the bank shall apply the principle of materiality. </w:t>
      </w:r>
    </w:p>
    <w:p w:rsidR="00B13BFF" w:rsidRDefault="00B13BFF" w:rsidP="00B13BFF"/>
    <w:p w:rsidR="00F45457" w:rsidRDefault="00F45457" w:rsidP="00077D40"/>
    <w:p w:rsidR="00937B4F" w:rsidRPr="00A47BBB" w:rsidRDefault="00653354" w:rsidP="00B60B74">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MANAGEMENT OF PROBLEM AND FORBORNE EXPOSURES</w:t>
      </w:r>
    </w:p>
    <w:p w:rsidR="00937B4F" w:rsidRDefault="00937B4F" w:rsidP="00937B4F"/>
    <w:p w:rsidR="00C11627" w:rsidRPr="005A6835" w:rsidRDefault="0041309E" w:rsidP="00C11627">
      <w:pPr>
        <w:pStyle w:val="Odstavekseznama"/>
        <w:keepNext/>
        <w:numPr>
          <w:ilvl w:val="1"/>
          <w:numId w:val="98"/>
        </w:numPr>
        <w:jc w:val="center"/>
        <w:rPr>
          <w:b/>
        </w:rPr>
      </w:pPr>
      <w:r>
        <w:rPr>
          <w:b/>
          <w:bCs/>
          <w:lang w:val="en-GB"/>
        </w:rPr>
        <w:t>Problem exposures</w:t>
      </w:r>
    </w:p>
    <w:p w:rsidR="00C11627" w:rsidRDefault="00C11627" w:rsidP="00937B4F"/>
    <w:p w:rsidR="00280826" w:rsidRDefault="00215D6B" w:rsidP="004D0C7B">
      <w:pPr>
        <w:jc w:val="center"/>
        <w:rPr>
          <w:bCs/>
          <w:szCs w:val="22"/>
        </w:rPr>
      </w:pPr>
      <w:r>
        <w:rPr>
          <w:szCs w:val="22"/>
          <w:lang w:val="en-GB"/>
        </w:rPr>
        <w:t>Article 28</w:t>
      </w:r>
    </w:p>
    <w:p w:rsidR="00280826" w:rsidRDefault="001D1745" w:rsidP="00280826">
      <w:pPr>
        <w:ind w:left="284"/>
        <w:jc w:val="center"/>
        <w:rPr>
          <w:bCs/>
          <w:szCs w:val="22"/>
        </w:rPr>
      </w:pPr>
      <w:r>
        <w:rPr>
          <w:szCs w:val="22"/>
          <w:lang w:val="en-GB"/>
        </w:rPr>
        <w:t>(</w:t>
      </w:r>
      <w:proofErr w:type="gramStart"/>
      <w:r>
        <w:rPr>
          <w:szCs w:val="22"/>
          <w:lang w:val="en-GB"/>
        </w:rPr>
        <w:t>strategy</w:t>
      </w:r>
      <w:proofErr w:type="gramEnd"/>
      <w:r>
        <w:rPr>
          <w:szCs w:val="22"/>
          <w:lang w:val="en-GB"/>
        </w:rPr>
        <w:t xml:space="preserve"> for managing problem exposures)</w:t>
      </w:r>
    </w:p>
    <w:p w:rsidR="00280826" w:rsidRDefault="00280826" w:rsidP="00280826">
      <w:pPr>
        <w:ind w:left="284"/>
        <w:rPr>
          <w:bCs/>
          <w:szCs w:val="22"/>
        </w:rPr>
      </w:pPr>
    </w:p>
    <w:p w:rsidR="009472FD" w:rsidRPr="004351A9" w:rsidRDefault="001D1745" w:rsidP="00C44EA7">
      <w:pPr>
        <w:pStyle w:val="Odstavekseznama"/>
        <w:numPr>
          <w:ilvl w:val="0"/>
          <w:numId w:val="143"/>
        </w:numPr>
      </w:pPr>
      <w:r>
        <w:rPr>
          <w:lang w:val="en-GB"/>
        </w:rPr>
        <w:t>A bank shall formulate a strategy for managing problem exposures that at least encompasses time-based definitions of quantitative targets (increased repayments, reduced losses, reduced stock of problem exposures, etc.), supported by an appropriate comprehensive operational plan to meet these targets. The problem exposures strategy together with the operational plan shall be approved by the management body and reviewed at least once a year thereby.</w:t>
      </w:r>
    </w:p>
    <w:p w:rsidR="00072B06" w:rsidRDefault="00072B06" w:rsidP="00072B06">
      <w:pPr>
        <w:pStyle w:val="Odstavekseznama"/>
        <w:ind w:left="360" w:firstLine="0"/>
      </w:pPr>
    </w:p>
    <w:p w:rsidR="00280826" w:rsidRDefault="00280826" w:rsidP="00072B06">
      <w:pPr>
        <w:pStyle w:val="Odstavekseznama"/>
        <w:numPr>
          <w:ilvl w:val="0"/>
          <w:numId w:val="143"/>
        </w:numPr>
      </w:pPr>
      <w:r>
        <w:rPr>
          <w:lang w:val="en-GB"/>
        </w:rPr>
        <w:t xml:space="preserve">The strategy shall also serve as the basis for designing the internal organisational structure, allocating internal resources (human capital, information systems and financing) and designing appropriate controls (policies and procedures) for monitoring interim performance and adopting corrective measures to ensure that the overall targets of reducing problem exposures are met. </w:t>
      </w:r>
    </w:p>
    <w:p w:rsidR="00EB50FB" w:rsidRDefault="00EB50FB" w:rsidP="00EB50FB">
      <w:pPr>
        <w:pStyle w:val="Odstavekseznama"/>
      </w:pPr>
    </w:p>
    <w:p w:rsidR="00280826" w:rsidRPr="00241FDB" w:rsidRDefault="00215D6B" w:rsidP="004D0C7B">
      <w:pPr>
        <w:jc w:val="center"/>
        <w:rPr>
          <w:bCs/>
          <w:szCs w:val="22"/>
        </w:rPr>
      </w:pPr>
      <w:r>
        <w:rPr>
          <w:szCs w:val="22"/>
          <w:lang w:val="en-GB"/>
        </w:rPr>
        <w:t>Article 29</w:t>
      </w:r>
    </w:p>
    <w:p w:rsidR="009C55CB" w:rsidRDefault="009C55CB" w:rsidP="00FB44A3">
      <w:pPr>
        <w:autoSpaceDE w:val="0"/>
        <w:autoSpaceDN w:val="0"/>
        <w:adjustRightInd w:val="0"/>
        <w:jc w:val="center"/>
      </w:pPr>
      <w:r>
        <w:rPr>
          <w:lang w:val="en-GB"/>
        </w:rPr>
        <w:t>(</w:t>
      </w:r>
      <w:proofErr w:type="gramStart"/>
      <w:r>
        <w:rPr>
          <w:lang w:val="en-GB"/>
        </w:rPr>
        <w:t>management</w:t>
      </w:r>
      <w:proofErr w:type="gramEnd"/>
      <w:r>
        <w:rPr>
          <w:lang w:val="en-GB"/>
        </w:rPr>
        <w:t xml:space="preserve"> of problem exposures)</w:t>
      </w:r>
    </w:p>
    <w:p w:rsidR="009C55CB" w:rsidRDefault="009C55CB" w:rsidP="009C55CB">
      <w:pPr>
        <w:autoSpaceDE w:val="0"/>
        <w:autoSpaceDN w:val="0"/>
        <w:adjustRightInd w:val="0"/>
      </w:pPr>
    </w:p>
    <w:p w:rsidR="00C44C96" w:rsidRPr="00665BF7" w:rsidRDefault="00C44C96" w:rsidP="00BD7303">
      <w:pPr>
        <w:pStyle w:val="Odstavekseznama"/>
        <w:numPr>
          <w:ilvl w:val="0"/>
          <w:numId w:val="151"/>
        </w:numPr>
        <w:autoSpaceDE w:val="0"/>
        <w:autoSpaceDN w:val="0"/>
        <w:adjustRightInd w:val="0"/>
        <w:ind w:left="360"/>
      </w:pPr>
      <w:r>
        <w:rPr>
          <w:lang w:val="en-GB"/>
        </w:rPr>
        <w:t xml:space="preserve">A bank shall define clear criteria and procedures based on which problem exposures are transferred in the wake of their identification from the commercial (originating) unit to a special unit engaged in the management of problem exposures. The bank shall put in place a clearly defined process for managing problem exposures that is distinguished at least with regard to the risk of the exposure, the type of credit protection, and the size and complexity of the exposure. </w:t>
      </w:r>
    </w:p>
    <w:p w:rsidR="00C44C96" w:rsidRDefault="00C44C96" w:rsidP="00BD7303">
      <w:pPr>
        <w:pStyle w:val="Odstavekseznama"/>
        <w:autoSpaceDE w:val="0"/>
        <w:autoSpaceDN w:val="0"/>
        <w:adjustRightInd w:val="0"/>
        <w:ind w:left="76" w:firstLine="0"/>
      </w:pPr>
    </w:p>
    <w:p w:rsidR="00835849" w:rsidRPr="005576A0" w:rsidRDefault="00835849" w:rsidP="00D2482A">
      <w:pPr>
        <w:pStyle w:val="Odstavekseznama"/>
        <w:numPr>
          <w:ilvl w:val="0"/>
          <w:numId w:val="151"/>
        </w:numPr>
        <w:ind w:left="360"/>
      </w:pPr>
      <w:r>
        <w:rPr>
          <w:lang w:val="en-GB"/>
        </w:rPr>
        <w:t xml:space="preserve">The problem exposures management unit shall have the requisite expertise and sufficient legal support, and shall be independent of the commercial unit, not merely from the perspective of operational management of the relations with the client (e.g. negotiations on the forbearance plan, judicial enforcement), but also from the perspective of the decision-making process and support services (e.g. administration of the credit, documentation). </w:t>
      </w:r>
    </w:p>
    <w:p w:rsidR="00D2482A" w:rsidRDefault="00D2482A" w:rsidP="00D2482A">
      <w:pPr>
        <w:pStyle w:val="Default"/>
        <w:ind w:left="360"/>
        <w:jc w:val="both"/>
        <w:rPr>
          <w:rFonts w:eastAsia="Calibri"/>
          <w:color w:val="auto"/>
          <w:sz w:val="22"/>
          <w:szCs w:val="22"/>
        </w:rPr>
      </w:pPr>
    </w:p>
    <w:p w:rsidR="00D2482A" w:rsidRDefault="00D2482A" w:rsidP="00D2482A">
      <w:pPr>
        <w:pStyle w:val="Default"/>
        <w:numPr>
          <w:ilvl w:val="0"/>
          <w:numId w:val="151"/>
        </w:numPr>
        <w:ind w:left="360"/>
        <w:jc w:val="both"/>
        <w:rPr>
          <w:rFonts w:eastAsia="Calibri"/>
          <w:color w:val="auto"/>
          <w:sz w:val="22"/>
          <w:szCs w:val="22"/>
        </w:rPr>
      </w:pPr>
      <w:r>
        <w:rPr>
          <w:rFonts w:eastAsia="Calibri"/>
          <w:color w:val="auto"/>
          <w:sz w:val="22"/>
          <w:szCs w:val="22"/>
          <w:lang w:val="en-GB"/>
        </w:rPr>
        <w:t xml:space="preserve">When the client being transferred to the problem exposures management unit is part of a group of connected clients, it shall be necessary to transfer the entire group of connected clients to the unit. </w:t>
      </w:r>
    </w:p>
    <w:p w:rsidR="005C7BAA" w:rsidRDefault="005C7BAA" w:rsidP="00D2482A">
      <w:pPr>
        <w:pStyle w:val="Odstavekseznama"/>
      </w:pPr>
    </w:p>
    <w:p w:rsidR="0032346C" w:rsidRPr="00516324" w:rsidRDefault="0032346C" w:rsidP="00BD7303">
      <w:pPr>
        <w:pStyle w:val="Default"/>
        <w:numPr>
          <w:ilvl w:val="0"/>
          <w:numId w:val="151"/>
        </w:numPr>
        <w:ind w:left="360"/>
        <w:jc w:val="both"/>
        <w:rPr>
          <w:rFonts w:eastAsia="Calibri"/>
          <w:color w:val="auto"/>
          <w:sz w:val="22"/>
          <w:szCs w:val="22"/>
        </w:rPr>
      </w:pPr>
      <w:r>
        <w:rPr>
          <w:rFonts w:eastAsia="Calibri"/>
          <w:color w:val="auto"/>
          <w:sz w:val="22"/>
          <w:szCs w:val="22"/>
          <w:lang w:val="en-GB"/>
        </w:rPr>
        <w:t xml:space="preserve">In the case of a banking group, it shall be necessary to adopt a unified approach to the management of problem exposures. </w:t>
      </w:r>
    </w:p>
    <w:p w:rsidR="0032346C" w:rsidRDefault="0032346C" w:rsidP="00BD7303">
      <w:pPr>
        <w:pStyle w:val="Odstavekseznama"/>
        <w:ind w:left="76" w:firstLine="0"/>
      </w:pPr>
    </w:p>
    <w:p w:rsidR="0032346C" w:rsidRDefault="0032346C" w:rsidP="00BD7303">
      <w:pPr>
        <w:pStyle w:val="Odstavekseznama"/>
        <w:numPr>
          <w:ilvl w:val="0"/>
          <w:numId w:val="151"/>
        </w:numPr>
        <w:ind w:left="360"/>
      </w:pPr>
      <w:r>
        <w:rPr>
          <w:lang w:val="en-GB"/>
        </w:rPr>
        <w:t>The problem exposures management unit shall report directly to the risk management function.</w:t>
      </w:r>
    </w:p>
    <w:p w:rsidR="001D1745" w:rsidRDefault="001D1745" w:rsidP="00BD7303">
      <w:pPr>
        <w:pStyle w:val="Odstavekseznama"/>
        <w:ind w:left="76" w:firstLine="0"/>
      </w:pPr>
    </w:p>
    <w:p w:rsidR="00835849" w:rsidRDefault="00835849" w:rsidP="00BD7303">
      <w:pPr>
        <w:pStyle w:val="Odstavekseznama"/>
        <w:numPr>
          <w:ilvl w:val="0"/>
          <w:numId w:val="151"/>
        </w:numPr>
        <w:ind w:left="360"/>
      </w:pPr>
      <w:r>
        <w:rPr>
          <w:lang w:val="en-GB"/>
        </w:rPr>
        <w:t>The bank shall have clearly defined criteria for restoring an exposure to ordinary treatment at the commercial unit.</w:t>
      </w:r>
    </w:p>
    <w:p w:rsidR="0032346C" w:rsidRDefault="0032346C" w:rsidP="00DE0671">
      <w:pPr>
        <w:pStyle w:val="Odstavekseznama"/>
        <w:ind w:left="360" w:firstLine="0"/>
      </w:pPr>
    </w:p>
    <w:p w:rsidR="001B6EAA" w:rsidRPr="00241FDB" w:rsidRDefault="00215D6B" w:rsidP="004D0C7B">
      <w:pPr>
        <w:jc w:val="center"/>
        <w:rPr>
          <w:bCs/>
          <w:szCs w:val="22"/>
        </w:rPr>
      </w:pPr>
      <w:r>
        <w:rPr>
          <w:szCs w:val="22"/>
          <w:lang w:val="en-GB"/>
        </w:rPr>
        <w:t>Article 30</w:t>
      </w:r>
    </w:p>
    <w:p w:rsidR="001B6EAA" w:rsidRDefault="001B6EAA" w:rsidP="001B6EAA">
      <w:pPr>
        <w:autoSpaceDE w:val="0"/>
        <w:autoSpaceDN w:val="0"/>
        <w:adjustRightInd w:val="0"/>
        <w:jc w:val="center"/>
      </w:pPr>
      <w:r>
        <w:rPr>
          <w:lang w:val="en-GB"/>
        </w:rPr>
        <w:t>(</w:t>
      </w:r>
      <w:proofErr w:type="gramStart"/>
      <w:r>
        <w:rPr>
          <w:lang w:val="en-GB"/>
        </w:rPr>
        <w:t>monitoring</w:t>
      </w:r>
      <w:proofErr w:type="gramEnd"/>
      <w:r>
        <w:rPr>
          <w:lang w:val="en-GB"/>
        </w:rPr>
        <w:t xml:space="preserve"> of problem exposures)</w:t>
      </w:r>
    </w:p>
    <w:p w:rsidR="001B6EAA" w:rsidRDefault="001B6EAA" w:rsidP="001B6EAA">
      <w:pPr>
        <w:autoSpaceDE w:val="0"/>
        <w:autoSpaceDN w:val="0"/>
        <w:adjustRightInd w:val="0"/>
        <w:jc w:val="center"/>
      </w:pPr>
    </w:p>
    <w:p w:rsidR="009472FD" w:rsidRDefault="009472FD" w:rsidP="00E47542">
      <w:pPr>
        <w:pStyle w:val="Odstavekseznama"/>
        <w:numPr>
          <w:ilvl w:val="0"/>
          <w:numId w:val="148"/>
        </w:numPr>
      </w:pPr>
      <w:r>
        <w:rPr>
          <w:lang w:val="en-GB"/>
        </w:rPr>
        <w:t xml:space="preserve">The monitoring of problem exposures shall be based on the targets defined in the problem exposures strategy and in the relevant operational plans, which are then transmitted down into operational targets for the problem exposures management unit. </w:t>
      </w:r>
    </w:p>
    <w:p w:rsidR="00273281" w:rsidRPr="004351A9" w:rsidRDefault="00273281" w:rsidP="00E47542">
      <w:pPr>
        <w:pStyle w:val="Odstavekseznama"/>
        <w:ind w:left="360" w:firstLine="0"/>
      </w:pPr>
    </w:p>
    <w:p w:rsidR="009472FD" w:rsidRDefault="009472FD" w:rsidP="000A686C">
      <w:pPr>
        <w:pStyle w:val="Odstavekseznama"/>
        <w:numPr>
          <w:ilvl w:val="0"/>
          <w:numId w:val="148"/>
        </w:numPr>
      </w:pPr>
      <w:r>
        <w:rPr>
          <w:lang w:val="en-GB"/>
        </w:rPr>
        <w:t>A bank shall define key performance indicators based on which the management body and the senior management are able to monitor the performance of the problem exposures management unit.</w:t>
      </w:r>
    </w:p>
    <w:p w:rsidR="00273281" w:rsidRPr="004351A9" w:rsidRDefault="00273281" w:rsidP="000A686C">
      <w:pPr>
        <w:rPr>
          <w:rFonts w:eastAsia="Calibri"/>
        </w:rPr>
      </w:pPr>
    </w:p>
    <w:p w:rsidR="009472FD" w:rsidRPr="004351A9" w:rsidRDefault="009472FD" w:rsidP="000A686C">
      <w:pPr>
        <w:pStyle w:val="Odstavekseznama"/>
        <w:numPr>
          <w:ilvl w:val="0"/>
          <w:numId w:val="148"/>
        </w:numPr>
      </w:pPr>
      <w:r>
        <w:rPr>
          <w:lang w:val="en-GB"/>
        </w:rPr>
        <w:t>The bank shall put in place clear procedures to connect the results of monitoring of indicators of problem exposures in appropriate and timely fashion to the evaluation of credit risk and the creation of value adjustments and provisions for credit risk losses.</w:t>
      </w:r>
    </w:p>
    <w:p w:rsidR="00E47542" w:rsidRDefault="00E47542" w:rsidP="001C4C8C">
      <w:pPr>
        <w:jc w:val="center"/>
        <w:rPr>
          <w:highlight w:val="yellow"/>
        </w:rPr>
      </w:pPr>
    </w:p>
    <w:p w:rsidR="00BA17F3" w:rsidRPr="00241FDB" w:rsidRDefault="00BA17F3" w:rsidP="004D0C7B">
      <w:pPr>
        <w:jc w:val="center"/>
        <w:rPr>
          <w:bCs/>
          <w:szCs w:val="22"/>
        </w:rPr>
      </w:pPr>
      <w:r>
        <w:rPr>
          <w:szCs w:val="22"/>
          <w:lang w:val="en-GB"/>
        </w:rPr>
        <w:t>Article 31</w:t>
      </w:r>
    </w:p>
    <w:p w:rsidR="00BA17F3" w:rsidRDefault="00BA17F3" w:rsidP="00BA17F3">
      <w:pPr>
        <w:autoSpaceDE w:val="0"/>
        <w:autoSpaceDN w:val="0"/>
        <w:adjustRightInd w:val="0"/>
        <w:jc w:val="center"/>
      </w:pPr>
      <w:r>
        <w:rPr>
          <w:lang w:val="en-GB"/>
        </w:rPr>
        <w:t>(</w:t>
      </w:r>
      <w:proofErr w:type="gramStart"/>
      <w:r>
        <w:rPr>
          <w:lang w:val="en-GB"/>
        </w:rPr>
        <w:t>recovery</w:t>
      </w:r>
      <w:proofErr w:type="gramEnd"/>
      <w:r>
        <w:rPr>
          <w:lang w:val="en-GB"/>
        </w:rPr>
        <w:t xml:space="preserve"> of problem exposures)</w:t>
      </w:r>
    </w:p>
    <w:p w:rsidR="0018460D" w:rsidRPr="00F83E0C" w:rsidRDefault="0018460D" w:rsidP="0018460D"/>
    <w:p w:rsidR="00561AB5" w:rsidRDefault="0018460D" w:rsidP="00EB7B3A">
      <w:pPr>
        <w:pStyle w:val="Odstavekseznama"/>
        <w:numPr>
          <w:ilvl w:val="0"/>
          <w:numId w:val="42"/>
        </w:numPr>
      </w:pPr>
      <w:r>
        <w:rPr>
          <w:lang w:val="en-GB"/>
        </w:rPr>
        <w:t xml:space="preserve">Insofar as a bank assesses that the forbearance of a problem exposure to a debtor is not reasonable, it shall formulate an approximate timetable for the recovery of the exposure, either directly from the debtor, or if the exposure is secured, from the realisation of the credit protection. To this end the bank shall define precise criteria based on which a decision is made to recover the exposure or shall set approximate deadlines for its final recovery (directly from the debtor or from the realisation of credit protection), and shall establish a record of monitoring of the deadlines of the actual recovery of problem exposures. </w:t>
      </w:r>
    </w:p>
    <w:p w:rsidR="00030EE7" w:rsidRDefault="00030EE7" w:rsidP="00561AB5">
      <w:pPr>
        <w:pStyle w:val="Odstavekseznama"/>
        <w:ind w:left="360" w:firstLine="0"/>
      </w:pPr>
    </w:p>
    <w:p w:rsidR="0018460D" w:rsidRPr="00F83E0C" w:rsidRDefault="00030EE7" w:rsidP="00EB7B3A">
      <w:pPr>
        <w:pStyle w:val="Odstavekseznama"/>
        <w:numPr>
          <w:ilvl w:val="0"/>
          <w:numId w:val="42"/>
        </w:numPr>
      </w:pPr>
      <w:r>
        <w:rPr>
          <w:lang w:val="en-GB"/>
        </w:rPr>
        <w:t xml:space="preserve">The bank shall put in place a computer-supported record based on which the amount of problem exposures actually repaid directly from the debtor or from the realisation of credit protection, the timeframe of such repayments and the amount of write-offs of these exposures are monitored. </w:t>
      </w:r>
    </w:p>
    <w:p w:rsidR="0018460D" w:rsidRPr="00F83E0C" w:rsidRDefault="0018460D" w:rsidP="0018460D">
      <w:pPr>
        <w:ind w:firstLine="360"/>
      </w:pPr>
    </w:p>
    <w:p w:rsidR="0018460D" w:rsidRPr="00F83E0C" w:rsidRDefault="0018460D" w:rsidP="00EB7B3A">
      <w:pPr>
        <w:pStyle w:val="Odstavekseznama"/>
        <w:numPr>
          <w:ilvl w:val="0"/>
          <w:numId w:val="42"/>
        </w:numPr>
      </w:pPr>
      <w:r>
        <w:rPr>
          <w:lang w:val="en-GB"/>
        </w:rPr>
        <w:t>When the debtor is undergoing bankruptcy proceedings, the bank shall ensure that the relevant departments and/or external contractors are included in the credit protection realisation process.</w:t>
      </w:r>
    </w:p>
    <w:p w:rsidR="00BF6051" w:rsidRDefault="00BF6051" w:rsidP="00E97A55">
      <w:pPr>
        <w:pStyle w:val="Odstavekseznama"/>
        <w:autoSpaceDE w:val="0"/>
        <w:autoSpaceDN w:val="0"/>
        <w:adjustRightInd w:val="0"/>
        <w:ind w:left="3905" w:firstLine="349"/>
      </w:pPr>
    </w:p>
    <w:p w:rsidR="00BF6051" w:rsidRPr="00BF6051" w:rsidRDefault="00BF6051" w:rsidP="00FB44A3">
      <w:pPr>
        <w:pStyle w:val="Odstavekseznama"/>
        <w:numPr>
          <w:ilvl w:val="0"/>
          <w:numId w:val="42"/>
        </w:numPr>
      </w:pPr>
      <w:r>
        <w:rPr>
          <w:lang w:val="en-GB"/>
        </w:rPr>
        <w:t xml:space="preserve">The bank shall conduct the recovery of exposures as long as it assesses that continuing recovery procedures are economically justifiable. </w:t>
      </w:r>
    </w:p>
    <w:p w:rsidR="0018460D" w:rsidRDefault="0018460D" w:rsidP="00A150C0">
      <w:pPr>
        <w:tabs>
          <w:tab w:val="left" w:pos="709"/>
        </w:tabs>
        <w:autoSpaceDE w:val="0"/>
        <w:autoSpaceDN w:val="0"/>
        <w:adjustRightInd w:val="0"/>
        <w:ind w:left="340"/>
      </w:pPr>
    </w:p>
    <w:p w:rsidR="0018460D" w:rsidRPr="00241FDB" w:rsidRDefault="00215D6B" w:rsidP="004D0C7B">
      <w:pPr>
        <w:jc w:val="center"/>
        <w:rPr>
          <w:bCs/>
          <w:szCs w:val="22"/>
        </w:rPr>
      </w:pPr>
      <w:r>
        <w:rPr>
          <w:szCs w:val="22"/>
          <w:lang w:val="en-GB"/>
        </w:rPr>
        <w:t>Article 32</w:t>
      </w:r>
    </w:p>
    <w:p w:rsidR="0018460D" w:rsidRDefault="0018460D" w:rsidP="00841695">
      <w:pPr>
        <w:autoSpaceDE w:val="0"/>
        <w:autoSpaceDN w:val="0"/>
        <w:adjustRightInd w:val="0"/>
        <w:jc w:val="center"/>
      </w:pPr>
      <w:r>
        <w:rPr>
          <w:lang w:val="en-GB"/>
        </w:rPr>
        <w:t>(</w:t>
      </w:r>
      <w:proofErr w:type="gramStart"/>
      <w:r>
        <w:rPr>
          <w:lang w:val="en-GB"/>
        </w:rPr>
        <w:t>write-off</w:t>
      </w:r>
      <w:proofErr w:type="gramEnd"/>
      <w:r>
        <w:rPr>
          <w:lang w:val="en-GB"/>
        </w:rPr>
        <w:t xml:space="preserve"> of problem exposures)</w:t>
      </w:r>
    </w:p>
    <w:p w:rsidR="0018460D" w:rsidRPr="00F04CD6" w:rsidRDefault="0018460D" w:rsidP="00841695">
      <w:pPr>
        <w:pStyle w:val="Odstavekseznama"/>
        <w:ind w:left="360"/>
      </w:pPr>
    </w:p>
    <w:p w:rsidR="004B19B1" w:rsidRDefault="0018460D" w:rsidP="00841695">
      <w:pPr>
        <w:pStyle w:val="Odstavekseznama"/>
        <w:numPr>
          <w:ilvl w:val="0"/>
          <w:numId w:val="182"/>
        </w:numPr>
      </w:pPr>
      <w:bookmarkStart w:id="9" w:name="_Ref472428324"/>
      <w:r>
        <w:rPr>
          <w:lang w:val="en-GB"/>
        </w:rPr>
        <w:t xml:space="preserve">Should a bank assess in recovery procedures that an on-balance-sheet exposure will not be repaid and that the conditions for derecognising the exposure from the statement of financial position have been met in accordance with the IFRS, it shall derecognise the exposure from the statement of financial position and shall administer it in the off-balance-sheet records until the acquisition of a legal basis for concluding the recovery procedure in the amount owed. </w:t>
      </w:r>
    </w:p>
    <w:p w:rsidR="004B19B1" w:rsidRDefault="004B19B1" w:rsidP="00841695">
      <w:pPr>
        <w:pStyle w:val="Odstavekseznama"/>
        <w:ind w:left="644" w:firstLine="0"/>
      </w:pPr>
    </w:p>
    <w:p w:rsidR="004B19B1" w:rsidRDefault="0018460D" w:rsidP="00841695">
      <w:pPr>
        <w:pStyle w:val="Odstavekseznama"/>
        <w:numPr>
          <w:ilvl w:val="0"/>
          <w:numId w:val="182"/>
        </w:numPr>
      </w:pPr>
      <w:r>
        <w:rPr>
          <w:lang w:val="en-GB"/>
        </w:rPr>
        <w:t xml:space="preserve">The bank shall put in place an internal policy with regard to the prompt write-off of exposures that does not yet constitute the irrevocable contractual forgiveness of the debt, in which it shall define a maximum period from the occurrence of default after which the bank derecognises an on-balance-sheet exposure from statement of financial position or provides for the complete coverage of the exposure by value adjustments or provisions for credit risk losses. </w:t>
      </w:r>
    </w:p>
    <w:p w:rsidR="004B19B1" w:rsidRDefault="004B19B1" w:rsidP="00841695">
      <w:pPr>
        <w:pStyle w:val="Odstavekseznama"/>
        <w:ind w:left="360" w:firstLine="0"/>
      </w:pPr>
    </w:p>
    <w:p w:rsidR="0018460D" w:rsidRPr="005A0046" w:rsidRDefault="0018460D" w:rsidP="00841695">
      <w:pPr>
        <w:pStyle w:val="Odstavekseznama"/>
        <w:numPr>
          <w:ilvl w:val="0"/>
          <w:numId w:val="182"/>
        </w:numPr>
      </w:pPr>
      <w:r>
        <w:rPr>
          <w:lang w:val="en-GB"/>
        </w:rPr>
        <w:t>For the purposes of prompt write-off the bank may apply a rule under which the derecognition of exposures in default from the statement of financial position is carried out in full on the basis of the assessment of recoverability referred to in the first paragraph of this article even before the acquisition of the legal basis for concluding the recovery procedure in the following cases:</w:t>
      </w:r>
      <w:bookmarkEnd w:id="9"/>
    </w:p>
    <w:p w:rsidR="0018460D" w:rsidRPr="005A0046" w:rsidRDefault="0018460D" w:rsidP="00841695">
      <w:pPr>
        <w:numPr>
          <w:ilvl w:val="0"/>
          <w:numId w:val="29"/>
        </w:numPr>
        <w:tabs>
          <w:tab w:val="left" w:pos="709"/>
        </w:tabs>
        <w:autoSpaceDE w:val="0"/>
        <w:autoSpaceDN w:val="0"/>
        <w:adjustRightInd w:val="0"/>
      </w:pPr>
      <w:r>
        <w:rPr>
          <w:lang w:val="en-GB"/>
        </w:rPr>
        <w:t>for unsecured exposures from credits (including called contingent off-balance-sheet liabilities such as guarantees, uncovered letters of credit, bill of exchange sureties and other contingent off-balance-sheet liabilities) and other debt financial instruments, when more than one year has passed from the date of default;</w:t>
      </w:r>
    </w:p>
    <w:p w:rsidR="0018460D" w:rsidRPr="005A0046" w:rsidRDefault="0018460D" w:rsidP="00841695">
      <w:pPr>
        <w:numPr>
          <w:ilvl w:val="0"/>
          <w:numId w:val="29"/>
        </w:numPr>
        <w:tabs>
          <w:tab w:val="left" w:pos="709"/>
        </w:tabs>
        <w:autoSpaceDE w:val="0"/>
        <w:autoSpaceDN w:val="0"/>
        <w:adjustRightInd w:val="0"/>
      </w:pPr>
      <w:r>
        <w:rPr>
          <w:lang w:val="en-GB"/>
        </w:rPr>
        <w:t xml:space="preserve">for unsecured exposures from credits (including called contingent off-balance-sheet liabilities) and other debt financial instruments, when bankruptcy proceedings have been initiated against the debtor; </w:t>
      </w:r>
    </w:p>
    <w:p w:rsidR="0018460D" w:rsidRPr="005A0046" w:rsidRDefault="0018460D" w:rsidP="00841695">
      <w:pPr>
        <w:numPr>
          <w:ilvl w:val="0"/>
          <w:numId w:val="29"/>
        </w:numPr>
        <w:tabs>
          <w:tab w:val="left" w:pos="709"/>
        </w:tabs>
        <w:autoSpaceDE w:val="0"/>
        <w:autoSpaceDN w:val="0"/>
        <w:adjustRightInd w:val="0"/>
      </w:pPr>
      <w:r>
        <w:rPr>
          <w:lang w:val="en-GB"/>
        </w:rPr>
        <w:t xml:space="preserve">for secured exposures from credits (including called contingent off-balance-sheet liabilities) and other debt financial instruments, when the following periods have passed from the date of default: </w:t>
      </w:r>
    </w:p>
    <w:p w:rsidR="0018460D" w:rsidRPr="005A0046" w:rsidRDefault="0018460D" w:rsidP="00841695">
      <w:pPr>
        <w:numPr>
          <w:ilvl w:val="0"/>
          <w:numId w:val="30"/>
        </w:numPr>
        <w:tabs>
          <w:tab w:val="left" w:pos="709"/>
        </w:tabs>
        <w:autoSpaceDE w:val="0"/>
        <w:autoSpaceDN w:val="0"/>
        <w:adjustRightInd w:val="0"/>
      </w:pPr>
      <w:r>
        <w:rPr>
          <w:lang w:val="en-GB"/>
        </w:rPr>
        <w:t>five years for exposures secured by real estate,</w:t>
      </w:r>
    </w:p>
    <w:p w:rsidR="0018460D" w:rsidRPr="005A0046" w:rsidRDefault="0018460D" w:rsidP="00841695">
      <w:pPr>
        <w:numPr>
          <w:ilvl w:val="0"/>
          <w:numId w:val="30"/>
        </w:numPr>
        <w:tabs>
          <w:tab w:val="left" w:pos="709"/>
        </w:tabs>
        <w:autoSpaceDE w:val="0"/>
        <w:autoSpaceDN w:val="0"/>
        <w:adjustRightInd w:val="0"/>
      </w:pPr>
      <w:r>
        <w:rPr>
          <w:lang w:val="en-GB"/>
        </w:rPr>
        <w:t>two years for exposures secured by movable property, and</w:t>
      </w:r>
    </w:p>
    <w:p w:rsidR="0018460D" w:rsidRPr="005A0046" w:rsidRDefault="0018460D" w:rsidP="00841695">
      <w:pPr>
        <w:numPr>
          <w:ilvl w:val="0"/>
          <w:numId w:val="30"/>
        </w:numPr>
        <w:tabs>
          <w:tab w:val="left" w:pos="709"/>
        </w:tabs>
        <w:autoSpaceDE w:val="0"/>
        <w:autoSpaceDN w:val="0"/>
        <w:adjustRightInd w:val="0"/>
      </w:pPr>
      <w:r>
        <w:rPr>
          <w:lang w:val="en-GB"/>
        </w:rPr>
        <w:t>one year for exposures secured by other forms of credit protection (e.g. guarantees, securities, monetary claims);</w:t>
      </w:r>
    </w:p>
    <w:p w:rsidR="0018460D" w:rsidRPr="005A0046" w:rsidRDefault="0018460D" w:rsidP="00841695">
      <w:pPr>
        <w:numPr>
          <w:ilvl w:val="0"/>
          <w:numId w:val="29"/>
        </w:numPr>
        <w:tabs>
          <w:tab w:val="left" w:pos="709"/>
        </w:tabs>
        <w:autoSpaceDE w:val="0"/>
        <w:autoSpaceDN w:val="0"/>
        <w:adjustRightInd w:val="0"/>
      </w:pPr>
      <w:r>
        <w:rPr>
          <w:lang w:val="en-GB"/>
        </w:rPr>
        <w:t xml:space="preserve">for exposures from credits (including called contingent off-balance-sheet liabilities) and other debt financial instruments that were the subject of forbearance measures three times or more in succession, where the bank has assessed that the associated debtors are unable to settle their liabilities over the long term from ordinary operations or from the sell-off of assets not required for business purposes; and </w:t>
      </w:r>
    </w:p>
    <w:p w:rsidR="0018460D" w:rsidRPr="005A0046" w:rsidRDefault="0018460D" w:rsidP="00841695">
      <w:pPr>
        <w:numPr>
          <w:ilvl w:val="0"/>
          <w:numId w:val="29"/>
        </w:numPr>
        <w:tabs>
          <w:tab w:val="left" w:pos="709"/>
        </w:tabs>
        <w:autoSpaceDE w:val="0"/>
        <w:autoSpaceDN w:val="0"/>
        <w:adjustRightInd w:val="0"/>
      </w:pPr>
      <w:r>
        <w:rPr>
          <w:lang w:val="en-GB"/>
        </w:rPr>
        <w:t xml:space="preserve"> for exposures from credits and other debt financial instruments for which the bank’s right to claim payment from the debtor in judicial or other proceedings has been extinguished by the approval of compulsory composition proceedings, in the amount in which the right was extinguished.</w:t>
      </w:r>
    </w:p>
    <w:p w:rsidR="0018460D" w:rsidRPr="009E2072" w:rsidRDefault="0018460D" w:rsidP="0018460D">
      <w:pPr>
        <w:tabs>
          <w:tab w:val="left" w:pos="709"/>
        </w:tabs>
        <w:autoSpaceDE w:val="0"/>
        <w:autoSpaceDN w:val="0"/>
        <w:adjustRightInd w:val="0"/>
        <w:ind w:left="720"/>
      </w:pPr>
    </w:p>
    <w:p w:rsidR="0018460D" w:rsidRPr="009E2072" w:rsidRDefault="0018460D" w:rsidP="00841695">
      <w:pPr>
        <w:pStyle w:val="Odstavekseznama"/>
        <w:numPr>
          <w:ilvl w:val="0"/>
          <w:numId w:val="182"/>
        </w:numPr>
      </w:pPr>
      <w:bookmarkStart w:id="10" w:name="_Ref472945221"/>
      <w:bookmarkStart w:id="11" w:name="_Ref472675584"/>
      <w:r>
        <w:rPr>
          <w:lang w:val="en-GB"/>
        </w:rPr>
        <w:t>If an exposure is in default due to forbearance or forbearance was carried out following default, the periods set out in points (a) and (c) of the third paragraph of this article shall be extended by one year. If during that period an exposure undergoes forbearance again, the aforementioned period shall be extended for a maximum of one additional year.</w:t>
      </w:r>
      <w:bookmarkEnd w:id="10"/>
      <w:r>
        <w:rPr>
          <w:lang w:val="en-GB"/>
        </w:rPr>
        <w:t xml:space="preserve"> </w:t>
      </w:r>
    </w:p>
    <w:p w:rsidR="0018460D" w:rsidRPr="009E2072" w:rsidRDefault="0018460D" w:rsidP="00841695">
      <w:pPr>
        <w:pStyle w:val="Odstavekseznama"/>
        <w:ind w:left="360" w:firstLine="0"/>
      </w:pPr>
    </w:p>
    <w:p w:rsidR="0018460D" w:rsidRPr="005A0046" w:rsidRDefault="0018460D" w:rsidP="00841695">
      <w:pPr>
        <w:pStyle w:val="Odstavekseznama"/>
        <w:numPr>
          <w:ilvl w:val="0"/>
          <w:numId w:val="182"/>
        </w:numPr>
      </w:pPr>
      <w:bookmarkStart w:id="12" w:name="_Ref472947172"/>
      <w:r>
        <w:rPr>
          <w:lang w:val="en-GB"/>
        </w:rPr>
        <w:t xml:space="preserve">If a bank derecognises an exposure from the statement of financial position before the period referred to in the second paragraph of this article or the period referred to in point (c) of the third paragraph or the fourth paragraph of this article, in accordance with the IFRS only the unsecured portion of the exposure shall be derecognised from the statement of financial position, while the secured portion shall be retained in the statement of financial position until the realisation of the credit protection, at the estimated value of the credit protection before the aforementioned write-off. Insofar as the value of the credit protection declines after write-off and before the end of the period referred to in the second paragraph, point (c) of the third paragraph or the fourth paragraph of this article, an additional write-off shall be made to the value of the exposure in the amount of the decline in the value of the credit protection. </w:t>
      </w:r>
    </w:p>
    <w:p w:rsidR="0018460D" w:rsidRDefault="0018460D" w:rsidP="0018460D">
      <w:pPr>
        <w:pStyle w:val="Odstavekseznama"/>
        <w:ind w:left="360"/>
      </w:pPr>
      <w:bookmarkStart w:id="13" w:name="_Ref472428344"/>
      <w:bookmarkEnd w:id="11"/>
      <w:bookmarkEnd w:id="12"/>
    </w:p>
    <w:p w:rsidR="0018460D" w:rsidRPr="009E2072" w:rsidRDefault="0018460D" w:rsidP="00841695">
      <w:pPr>
        <w:pStyle w:val="Odstavekseznama"/>
        <w:numPr>
          <w:ilvl w:val="0"/>
          <w:numId w:val="182"/>
        </w:numPr>
      </w:pPr>
      <w:bookmarkStart w:id="14" w:name="_Ref478405795"/>
      <w:r>
        <w:rPr>
          <w:lang w:val="en-GB"/>
        </w:rPr>
        <w:t>The bank shall also maintain financial assets measured at fair value through profit or loss whose fair value is equal to zero in its off-balance-sheet records until the acquisition of a legal basis for concluding the recovery procedure in the amount owed.</w:t>
      </w:r>
      <w:bookmarkEnd w:id="13"/>
      <w:bookmarkEnd w:id="14"/>
    </w:p>
    <w:p w:rsidR="0018460D" w:rsidRPr="009E2072" w:rsidRDefault="0018460D" w:rsidP="00841695">
      <w:pPr>
        <w:pStyle w:val="Odstavekseznama"/>
        <w:ind w:left="360" w:firstLine="0"/>
      </w:pPr>
    </w:p>
    <w:p w:rsidR="0018460D" w:rsidRPr="00B41E38" w:rsidRDefault="0018460D" w:rsidP="00841695">
      <w:pPr>
        <w:pStyle w:val="Odstavekseznama"/>
        <w:numPr>
          <w:ilvl w:val="0"/>
          <w:numId w:val="182"/>
        </w:numPr>
      </w:pPr>
      <w:r>
        <w:rPr>
          <w:lang w:val="en-GB"/>
        </w:rPr>
        <w:t xml:space="preserve">The bank shall expunge the off-balance-sheet record of exposures derecognised from the statement of financial position on the basis of the provisions of the second to fifth paragraphs of this article when the recovery procedure has been concluded. </w:t>
      </w:r>
    </w:p>
    <w:p w:rsidR="0018460D" w:rsidRPr="009E2072" w:rsidRDefault="0018460D" w:rsidP="00841695">
      <w:pPr>
        <w:pStyle w:val="Odstavekseznama"/>
        <w:ind w:left="360" w:firstLine="0"/>
      </w:pPr>
    </w:p>
    <w:p w:rsidR="0018460D" w:rsidRPr="009E2072" w:rsidRDefault="0018460D" w:rsidP="00841695">
      <w:pPr>
        <w:pStyle w:val="Odstavekseznama"/>
        <w:numPr>
          <w:ilvl w:val="0"/>
          <w:numId w:val="182"/>
        </w:numPr>
      </w:pPr>
      <w:r>
        <w:rPr>
          <w:lang w:val="en-GB"/>
        </w:rPr>
        <w:t>The bank shall conclude the recovery procedure for an exposure in the following cases:</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on the basis of a final court order on the completion of bankruptcy proceedings;</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 xml:space="preserve">on the basis of a final court order approving compulsory composition, in the part in which the exposure was not repaid in full; </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on the basis of a final court order staying enforcement proceedings, if the proposed means of enforcement have not brought successful enforcement; or</w:t>
      </w:r>
    </w:p>
    <w:p w:rsidR="0018460D" w:rsidRDefault="0018460D" w:rsidP="00EB7B3A">
      <w:pPr>
        <w:pStyle w:val="Odstavekseznama"/>
        <w:numPr>
          <w:ilvl w:val="0"/>
          <w:numId w:val="28"/>
        </w:numPr>
        <w:tabs>
          <w:tab w:val="left" w:pos="709"/>
        </w:tabs>
        <w:autoSpaceDE w:val="0"/>
        <w:autoSpaceDN w:val="0"/>
        <w:adjustRightInd w:val="0"/>
      </w:pPr>
      <w:r>
        <w:rPr>
          <w:lang w:val="en-GB"/>
        </w:rPr>
        <w:t>on the basis of a resolution by the management board, supervisory board or board of directors without judicial proceedings for the repayment of the exposure, should continuing legal proceedings be economically unjustifiable, particularly if the costs of judicial proceedings would exceed the repayment of the exposure, or all actions to achieve the repayment of the exposure that would be taken with the diligence of a good manager have been taken.</w:t>
      </w:r>
    </w:p>
    <w:p w:rsidR="00C06524" w:rsidRDefault="00C06524" w:rsidP="00C06524">
      <w:pPr>
        <w:tabs>
          <w:tab w:val="left" w:pos="709"/>
        </w:tabs>
        <w:autoSpaceDE w:val="0"/>
        <w:autoSpaceDN w:val="0"/>
        <w:adjustRightInd w:val="0"/>
      </w:pPr>
    </w:p>
    <w:p w:rsidR="0041309E" w:rsidRPr="005A6835" w:rsidRDefault="0041309E" w:rsidP="0041309E">
      <w:pPr>
        <w:pStyle w:val="Odstavekseznama"/>
        <w:keepNext/>
        <w:numPr>
          <w:ilvl w:val="1"/>
          <w:numId w:val="98"/>
        </w:numPr>
        <w:jc w:val="center"/>
        <w:rPr>
          <w:b/>
        </w:rPr>
      </w:pPr>
      <w:r>
        <w:rPr>
          <w:b/>
          <w:bCs/>
          <w:lang w:val="en-GB"/>
        </w:rPr>
        <w:t>Forborne exposures</w:t>
      </w:r>
    </w:p>
    <w:p w:rsidR="0041309E" w:rsidRDefault="0041309E" w:rsidP="0041309E">
      <w:pPr>
        <w:keepNext/>
      </w:pPr>
    </w:p>
    <w:p w:rsidR="0041309E" w:rsidRPr="00241FDB" w:rsidRDefault="0041309E" w:rsidP="004D0C7B">
      <w:pPr>
        <w:keepNext/>
        <w:jc w:val="center"/>
        <w:rPr>
          <w:bCs/>
          <w:szCs w:val="22"/>
        </w:rPr>
      </w:pPr>
      <w:r>
        <w:rPr>
          <w:szCs w:val="22"/>
          <w:lang w:val="en-GB"/>
        </w:rPr>
        <w:t>Article 33</w:t>
      </w:r>
    </w:p>
    <w:p w:rsidR="0041309E" w:rsidRDefault="0041309E" w:rsidP="0041309E">
      <w:pPr>
        <w:keepNext/>
        <w:autoSpaceDE w:val="0"/>
        <w:autoSpaceDN w:val="0"/>
        <w:adjustRightInd w:val="0"/>
        <w:jc w:val="center"/>
      </w:pPr>
      <w:r>
        <w:rPr>
          <w:lang w:val="en-GB"/>
        </w:rPr>
        <w:t>(</w:t>
      </w:r>
      <w:proofErr w:type="gramStart"/>
      <w:r>
        <w:rPr>
          <w:lang w:val="en-GB"/>
        </w:rPr>
        <w:t>forborne</w:t>
      </w:r>
      <w:proofErr w:type="gramEnd"/>
      <w:r>
        <w:rPr>
          <w:lang w:val="en-GB"/>
        </w:rPr>
        <w:t xml:space="preserve"> exposures)</w:t>
      </w:r>
    </w:p>
    <w:p w:rsidR="0041309E" w:rsidRDefault="0041309E" w:rsidP="0041309E">
      <w:pPr>
        <w:keepNext/>
        <w:autoSpaceDE w:val="0"/>
        <w:autoSpaceDN w:val="0"/>
        <w:adjustRightInd w:val="0"/>
      </w:pPr>
    </w:p>
    <w:p w:rsidR="0041309E" w:rsidRPr="00892174" w:rsidRDefault="0041309E" w:rsidP="0041309E">
      <w:pPr>
        <w:pStyle w:val="Odstavekseznama"/>
        <w:keepNext/>
        <w:numPr>
          <w:ilvl w:val="0"/>
          <w:numId w:val="177"/>
        </w:numPr>
      </w:pPr>
      <w:r>
        <w:rPr>
          <w:lang w:val="en-GB"/>
        </w:rPr>
        <w:t>A bank shall forbear exposures to a debtor by undertaking one or more activities that it would not decide to undertake were the debtor in a normal economic and financial position. Forbearance measures consist of concessions to (forgiveness for) a debtor that is experiencing or is about to experience difficulties in meeting its financial commitments (financial difficulties). Forbearance arises as a result of the debtor’s inability to repay a debt under the originally agreed terms, either by modifying the terms of the original contract or by signing a new contract under which the contracting parties agree the partial or total repayment of the original debt. Contracts with an embedded forbearance clause also belong to this framework.</w:t>
      </w:r>
    </w:p>
    <w:p w:rsidR="0041309E" w:rsidRPr="00892174" w:rsidRDefault="0041309E" w:rsidP="0041309E">
      <w:pPr>
        <w:pStyle w:val="Odstavekseznama"/>
        <w:ind w:left="360" w:firstLine="0"/>
      </w:pPr>
    </w:p>
    <w:p w:rsidR="0041309E" w:rsidRPr="00892174" w:rsidRDefault="0041309E" w:rsidP="0041309E">
      <w:pPr>
        <w:pStyle w:val="Odstavekseznama"/>
        <w:numPr>
          <w:ilvl w:val="0"/>
          <w:numId w:val="177"/>
        </w:numPr>
      </w:pPr>
      <w:r>
        <w:rPr>
          <w:lang w:val="en-GB"/>
        </w:rPr>
        <w:t>In the forbearance of exposures, financial difficulties and the ability to repay a debt shall be assessed by the bank at the level of the debtor. All legal and natural persons in the debtor’s group that are included in consolidation for accounting purposes shall be classed as the debtor. The debtor’s ability to repay the debt shall be assessed by the bank, in addition to the possibility of the acceptance of other assets or repayment via the realisation of credit protection, primarily from the perspective of the impact of the forbearance on the sufficiency of cash flows from the debtor’s operating activities or from the perspective of the possibility of controlling those affiliated undertakings that are capable of generating cash flows from operating activities.</w:t>
      </w:r>
    </w:p>
    <w:p w:rsidR="0041309E" w:rsidRDefault="0041309E" w:rsidP="0041309E">
      <w:pPr>
        <w:pStyle w:val="Odstavekseznama"/>
        <w:ind w:left="360" w:firstLine="0"/>
      </w:pPr>
    </w:p>
    <w:p w:rsidR="0041309E" w:rsidRPr="00241FDB" w:rsidRDefault="0041309E" w:rsidP="004D0C7B">
      <w:pPr>
        <w:keepNext/>
        <w:jc w:val="center"/>
        <w:rPr>
          <w:bCs/>
          <w:szCs w:val="22"/>
        </w:rPr>
      </w:pPr>
      <w:r>
        <w:rPr>
          <w:szCs w:val="22"/>
          <w:lang w:val="en-GB"/>
        </w:rPr>
        <w:t>Article 34</w:t>
      </w:r>
    </w:p>
    <w:p w:rsidR="0041309E" w:rsidRDefault="0041309E" w:rsidP="006D47B5">
      <w:pPr>
        <w:keepNext/>
        <w:autoSpaceDE w:val="0"/>
        <w:autoSpaceDN w:val="0"/>
        <w:adjustRightInd w:val="0"/>
        <w:jc w:val="center"/>
      </w:pPr>
      <w:r>
        <w:rPr>
          <w:lang w:val="en-GB"/>
        </w:rPr>
        <w:t>(</w:t>
      </w:r>
      <w:proofErr w:type="gramStart"/>
      <w:r>
        <w:rPr>
          <w:lang w:val="en-GB"/>
        </w:rPr>
        <w:t>analysis</w:t>
      </w:r>
      <w:proofErr w:type="gramEnd"/>
      <w:r>
        <w:rPr>
          <w:lang w:val="en-GB"/>
        </w:rPr>
        <w:t xml:space="preserve"> of alternative forbearance solutions)</w:t>
      </w:r>
    </w:p>
    <w:p w:rsidR="0041309E" w:rsidRDefault="0041309E" w:rsidP="006D47B5">
      <w:pPr>
        <w:pStyle w:val="Odstavekseznama"/>
        <w:keepNext/>
        <w:ind w:left="360" w:firstLine="0"/>
      </w:pPr>
    </w:p>
    <w:p w:rsidR="0041309E" w:rsidRDefault="0041309E" w:rsidP="006D47B5">
      <w:pPr>
        <w:pStyle w:val="Odstavekseznama"/>
        <w:keepNext/>
        <w:numPr>
          <w:ilvl w:val="0"/>
          <w:numId w:val="161"/>
        </w:numPr>
      </w:pPr>
      <w:r>
        <w:rPr>
          <w:lang w:val="en-GB"/>
        </w:rPr>
        <w:t xml:space="preserve">A bank shall draw up an appropriate forbearance plan for exposures, and shall monitor its implementation and effects. </w:t>
      </w:r>
    </w:p>
    <w:p w:rsidR="0041309E" w:rsidRDefault="0041309E" w:rsidP="0041309E">
      <w:pPr>
        <w:pStyle w:val="Odstavekseznama"/>
        <w:ind w:left="360" w:firstLine="0"/>
      </w:pPr>
    </w:p>
    <w:p w:rsidR="0041309E" w:rsidRDefault="0041309E" w:rsidP="0041309E">
      <w:pPr>
        <w:pStyle w:val="Odstavekseznama"/>
        <w:numPr>
          <w:ilvl w:val="0"/>
          <w:numId w:val="161"/>
        </w:numPr>
      </w:pPr>
      <w:r>
        <w:rPr>
          <w:lang w:val="en-GB"/>
        </w:rPr>
        <w:t>In the forbearance process the bank shall apply solutions that it finds optimal, and that should contribute to the lasting resolution of the debtor’s financial difficulties. To this end the bank shall compare the net present value of expected cash flows taking account of the forbearance agreement, and the net present value of expected cash flows before forbearance. In the analysis of alternative forbearance solutions, the bank shall take account of options such as the realisation of credit protection, the sale of the financial asset (exposure), the termination of the contract, and other possible activities. The bank shall appropriately document all decisions taken on the forbearance of exposures in the credit documentation.</w:t>
      </w:r>
    </w:p>
    <w:p w:rsidR="0041309E" w:rsidRPr="00CD21DC" w:rsidRDefault="0041309E" w:rsidP="0041309E">
      <w:pPr>
        <w:pStyle w:val="Odstavekseznama"/>
        <w:ind w:left="360" w:firstLine="0"/>
      </w:pPr>
    </w:p>
    <w:p w:rsidR="0041309E" w:rsidRPr="008242C4" w:rsidRDefault="0041309E" w:rsidP="0041309E">
      <w:pPr>
        <w:pStyle w:val="Odstavekseznama"/>
        <w:numPr>
          <w:ilvl w:val="0"/>
          <w:numId w:val="161"/>
        </w:numPr>
      </w:pPr>
      <w:r>
        <w:rPr>
          <w:lang w:val="en-GB"/>
        </w:rPr>
        <w:t xml:space="preserve">In its internal policy the bank shall stipulate a threshold of exposure value for which it assesses that forbearance is justifiable from the perspective of the estimated costs and benefits.  </w:t>
      </w:r>
    </w:p>
    <w:p w:rsidR="0041309E" w:rsidRDefault="0041309E" w:rsidP="0041309E">
      <w:pPr>
        <w:pStyle w:val="Odstavekseznama"/>
        <w:ind w:left="360" w:firstLine="0"/>
      </w:pPr>
    </w:p>
    <w:p w:rsidR="0041309E" w:rsidRPr="00241FDB" w:rsidRDefault="0041309E" w:rsidP="004D0C7B">
      <w:pPr>
        <w:jc w:val="center"/>
        <w:rPr>
          <w:bCs/>
          <w:szCs w:val="22"/>
        </w:rPr>
      </w:pPr>
      <w:r>
        <w:rPr>
          <w:szCs w:val="22"/>
          <w:lang w:val="en-GB"/>
        </w:rPr>
        <w:t>Article 35</w:t>
      </w:r>
    </w:p>
    <w:p w:rsidR="0041309E" w:rsidRDefault="0041309E" w:rsidP="0041309E">
      <w:pPr>
        <w:autoSpaceDE w:val="0"/>
        <w:autoSpaceDN w:val="0"/>
        <w:adjustRightInd w:val="0"/>
        <w:jc w:val="center"/>
      </w:pPr>
      <w:r>
        <w:rPr>
          <w:lang w:val="en-GB"/>
        </w:rPr>
        <w:t>(</w:t>
      </w:r>
      <w:proofErr w:type="gramStart"/>
      <w:r>
        <w:rPr>
          <w:lang w:val="en-GB"/>
        </w:rPr>
        <w:t>recording</w:t>
      </w:r>
      <w:proofErr w:type="gramEnd"/>
      <w:r>
        <w:rPr>
          <w:lang w:val="en-GB"/>
        </w:rPr>
        <w:t xml:space="preserve"> of forborne exposures in books of account)</w:t>
      </w:r>
    </w:p>
    <w:p w:rsidR="0041309E" w:rsidRPr="009E2072" w:rsidRDefault="0041309E" w:rsidP="0041309E">
      <w:pPr>
        <w:pStyle w:val="Odstavekseznama"/>
        <w:ind w:left="360" w:firstLine="0"/>
      </w:pPr>
    </w:p>
    <w:p w:rsidR="0041309E" w:rsidRDefault="0041309E" w:rsidP="0041309E">
      <w:r>
        <w:rPr>
          <w:lang w:val="en-GB"/>
        </w:rPr>
        <w:t xml:space="preserve">For the purposes of monitoring and reporting on forborne exposures in the books of account and the credit documentation a bank shall provide for an analytical record, including data on: </w:t>
      </w:r>
    </w:p>
    <w:p w:rsidR="0041309E" w:rsidRDefault="0041309E" w:rsidP="0041309E">
      <w:pPr>
        <w:pStyle w:val="Odstavekseznama"/>
        <w:numPr>
          <w:ilvl w:val="0"/>
          <w:numId w:val="139"/>
        </w:numPr>
        <w:ind w:left="360"/>
      </w:pPr>
      <w:r>
        <w:rPr>
          <w:lang w:val="en-GB"/>
        </w:rPr>
        <w:t>the method of forbearance (via an annex or a new contract),</w:t>
      </w:r>
    </w:p>
    <w:p w:rsidR="0041309E" w:rsidRDefault="0041309E" w:rsidP="0041309E">
      <w:pPr>
        <w:pStyle w:val="Odstavekseznama"/>
        <w:numPr>
          <w:ilvl w:val="0"/>
          <w:numId w:val="139"/>
        </w:numPr>
        <w:ind w:left="360"/>
      </w:pPr>
      <w:r>
        <w:rPr>
          <w:lang w:val="en-GB"/>
        </w:rPr>
        <w:t>the types of forbearance,</w:t>
      </w:r>
    </w:p>
    <w:p w:rsidR="0041309E" w:rsidRDefault="0041309E" w:rsidP="0041309E">
      <w:pPr>
        <w:pStyle w:val="Odstavekseznama"/>
        <w:numPr>
          <w:ilvl w:val="0"/>
          <w:numId w:val="139"/>
        </w:numPr>
        <w:ind w:left="360"/>
      </w:pPr>
      <w:r>
        <w:rPr>
          <w:lang w:val="en-GB"/>
        </w:rPr>
        <w:t xml:space="preserve">the dates of forbearance, </w:t>
      </w:r>
    </w:p>
    <w:p w:rsidR="0041309E" w:rsidRDefault="0041309E" w:rsidP="0041309E">
      <w:pPr>
        <w:pStyle w:val="Odstavekseznama"/>
        <w:numPr>
          <w:ilvl w:val="0"/>
          <w:numId w:val="139"/>
        </w:numPr>
        <w:ind w:left="360"/>
      </w:pPr>
      <w:r>
        <w:rPr>
          <w:lang w:val="en-GB"/>
        </w:rPr>
        <w:t>the effects in terms of a change in the exposure value,</w:t>
      </w:r>
    </w:p>
    <w:p w:rsidR="0041309E" w:rsidRDefault="0041309E" w:rsidP="0041309E">
      <w:pPr>
        <w:pStyle w:val="Odstavekseznama"/>
        <w:numPr>
          <w:ilvl w:val="0"/>
          <w:numId w:val="139"/>
        </w:numPr>
        <w:ind w:left="360"/>
      </w:pPr>
      <w:r>
        <w:rPr>
          <w:lang w:val="en-GB"/>
        </w:rPr>
        <w:t>the effects of write-offs or derecognition from the statement of financial position,</w:t>
      </w:r>
    </w:p>
    <w:p w:rsidR="0041309E" w:rsidRDefault="0041309E" w:rsidP="0041309E">
      <w:pPr>
        <w:pStyle w:val="Odstavekseznama"/>
        <w:numPr>
          <w:ilvl w:val="0"/>
          <w:numId w:val="139"/>
        </w:numPr>
        <w:ind w:left="360"/>
      </w:pPr>
      <w:r>
        <w:rPr>
          <w:lang w:val="en-GB"/>
        </w:rPr>
        <w:t xml:space="preserve">a change in the debtor’s internal credit assessment, </w:t>
      </w:r>
    </w:p>
    <w:p w:rsidR="0041309E" w:rsidRDefault="0041309E" w:rsidP="0041309E">
      <w:pPr>
        <w:pStyle w:val="Odstavekseznama"/>
        <w:numPr>
          <w:ilvl w:val="0"/>
          <w:numId w:val="139"/>
        </w:numPr>
        <w:ind w:left="360"/>
      </w:pPr>
      <w:r>
        <w:rPr>
          <w:lang w:val="en-GB"/>
        </w:rPr>
        <w:t>the status of the forborne exposures as performing or non-performing.</w:t>
      </w:r>
    </w:p>
    <w:p w:rsidR="0041309E" w:rsidRDefault="0041309E" w:rsidP="0041309E">
      <w:pPr>
        <w:pStyle w:val="Odstavekseznama"/>
        <w:ind w:left="360" w:firstLine="0"/>
      </w:pPr>
    </w:p>
    <w:p w:rsidR="0041309E" w:rsidRDefault="0041309E" w:rsidP="0041309E">
      <w:pPr>
        <w:tabs>
          <w:tab w:val="left" w:pos="709"/>
        </w:tabs>
        <w:autoSpaceDE w:val="0"/>
        <w:autoSpaceDN w:val="0"/>
        <w:adjustRightInd w:val="0"/>
        <w:ind w:left="340"/>
      </w:pPr>
    </w:p>
    <w:p w:rsidR="0041309E" w:rsidRPr="005A6835" w:rsidRDefault="0041309E" w:rsidP="0041309E">
      <w:pPr>
        <w:pStyle w:val="Odstavekseznama"/>
        <w:numPr>
          <w:ilvl w:val="1"/>
          <w:numId w:val="98"/>
        </w:numPr>
        <w:jc w:val="center"/>
        <w:rPr>
          <w:b/>
        </w:rPr>
      </w:pPr>
      <w:r>
        <w:rPr>
          <w:b/>
          <w:bCs/>
          <w:lang w:val="en-GB"/>
        </w:rPr>
        <w:t>Corporate restructuring</w:t>
      </w:r>
    </w:p>
    <w:p w:rsidR="0041309E" w:rsidRDefault="0041309E" w:rsidP="0041309E">
      <w:pPr>
        <w:tabs>
          <w:tab w:val="left" w:pos="709"/>
        </w:tabs>
        <w:autoSpaceDE w:val="0"/>
        <w:autoSpaceDN w:val="0"/>
        <w:adjustRightInd w:val="0"/>
        <w:ind w:left="340"/>
      </w:pPr>
    </w:p>
    <w:p w:rsidR="0041309E" w:rsidRDefault="0041309E" w:rsidP="004D0C7B">
      <w:pPr>
        <w:jc w:val="center"/>
        <w:rPr>
          <w:bCs/>
          <w:szCs w:val="22"/>
        </w:rPr>
      </w:pPr>
      <w:bookmarkStart w:id="15" w:name="_Ref497998265"/>
      <w:r>
        <w:rPr>
          <w:szCs w:val="22"/>
          <w:lang w:val="en-GB"/>
        </w:rPr>
        <w:t>Article 36</w:t>
      </w:r>
      <w:bookmarkEnd w:id="15"/>
    </w:p>
    <w:p w:rsidR="0041309E" w:rsidRPr="00173D87" w:rsidRDefault="0041309E" w:rsidP="0041309E">
      <w:pPr>
        <w:autoSpaceDE w:val="0"/>
        <w:autoSpaceDN w:val="0"/>
        <w:adjustRightInd w:val="0"/>
        <w:jc w:val="center"/>
      </w:pPr>
      <w:r>
        <w:rPr>
          <w:lang w:val="en-GB"/>
        </w:rPr>
        <w:t>(</w:t>
      </w:r>
      <w:proofErr w:type="gramStart"/>
      <w:r>
        <w:rPr>
          <w:lang w:val="en-GB"/>
        </w:rPr>
        <w:t>participation</w:t>
      </w:r>
      <w:proofErr w:type="gramEnd"/>
      <w:r>
        <w:rPr>
          <w:lang w:val="en-GB"/>
        </w:rPr>
        <w:t xml:space="preserve"> in corporate restructuring)</w:t>
      </w:r>
    </w:p>
    <w:p w:rsidR="0041309E" w:rsidRDefault="0041309E" w:rsidP="0041309E"/>
    <w:p w:rsidR="0041309E" w:rsidRDefault="0041309E" w:rsidP="00653354">
      <w:pPr>
        <w:pStyle w:val="Odstavekseznama"/>
        <w:numPr>
          <w:ilvl w:val="0"/>
          <w:numId w:val="153"/>
        </w:numPr>
      </w:pPr>
      <w:r>
        <w:rPr>
          <w:lang w:val="en-GB"/>
        </w:rPr>
        <w:t xml:space="preserve">In corporate restructuring, a bank that has decided in conjunction with other banks and a corporate to seek an agreed solution for the corporate shall take action without any unnecessary delay to facilitate the corporate’s continuation as a going concern if it assesses that such a restructuring is feasible and reasonable. In so doing it shall uphold good business practice and good banking practice, such as that summarised in the Slovenian principles of financial restructuring of debt in the corporate sector. </w:t>
      </w:r>
    </w:p>
    <w:p w:rsidR="00653354" w:rsidRDefault="00653354" w:rsidP="00653354">
      <w:pPr>
        <w:pStyle w:val="Odstavekseznama"/>
        <w:ind w:left="360" w:firstLine="0"/>
      </w:pPr>
    </w:p>
    <w:p w:rsidR="00653354" w:rsidRDefault="00653354" w:rsidP="00653354">
      <w:pPr>
        <w:pStyle w:val="Odstavekseznama"/>
        <w:numPr>
          <w:ilvl w:val="0"/>
          <w:numId w:val="153"/>
        </w:numPr>
      </w:pPr>
      <w:r>
        <w:rPr>
          <w:lang w:val="en-GB"/>
        </w:rPr>
        <w:t>If several banks are involved in corporate restructuring, the role of the coordinator who leads negotiations between the banks and the corporate shall be assumed by the bank with the largest exposure to the corporate, unless mutually agreed otherwise by the banks.</w:t>
      </w:r>
    </w:p>
    <w:p w:rsidR="0041309E" w:rsidRPr="00F83E0C" w:rsidRDefault="0041309E" w:rsidP="0041309E">
      <w:pPr>
        <w:ind w:firstLine="360"/>
      </w:pPr>
    </w:p>
    <w:p w:rsidR="0041309E" w:rsidRDefault="0041309E" w:rsidP="004D0C7B">
      <w:pPr>
        <w:keepNext/>
        <w:jc w:val="center"/>
        <w:rPr>
          <w:bCs/>
          <w:szCs w:val="22"/>
        </w:rPr>
      </w:pPr>
      <w:bookmarkStart w:id="16" w:name="_Ref498000059"/>
      <w:r>
        <w:rPr>
          <w:szCs w:val="22"/>
          <w:lang w:val="en-GB"/>
        </w:rPr>
        <w:t>Article 37</w:t>
      </w:r>
      <w:bookmarkEnd w:id="16"/>
    </w:p>
    <w:p w:rsidR="0041309E" w:rsidRPr="00173D87" w:rsidRDefault="0041309E" w:rsidP="002748A0">
      <w:pPr>
        <w:keepNext/>
        <w:ind w:left="284"/>
        <w:jc w:val="center"/>
        <w:rPr>
          <w:bCs/>
          <w:szCs w:val="22"/>
        </w:rPr>
      </w:pPr>
      <w:r>
        <w:rPr>
          <w:szCs w:val="22"/>
          <w:lang w:val="en-GB"/>
        </w:rPr>
        <w:t>(</w:t>
      </w:r>
      <w:proofErr w:type="gramStart"/>
      <w:r>
        <w:rPr>
          <w:szCs w:val="22"/>
          <w:lang w:val="en-GB"/>
        </w:rPr>
        <w:t>formulation</w:t>
      </w:r>
      <w:proofErr w:type="gramEnd"/>
      <w:r>
        <w:rPr>
          <w:szCs w:val="22"/>
          <w:lang w:val="en-GB"/>
        </w:rPr>
        <w:t xml:space="preserve"> of forbearance plan for corporate exposure, and monitoring of implementation)</w:t>
      </w:r>
    </w:p>
    <w:p w:rsidR="0041309E" w:rsidRPr="00F83E0C" w:rsidRDefault="0041309E" w:rsidP="002748A0">
      <w:pPr>
        <w:pStyle w:val="Odstavekseznama"/>
        <w:keepNext/>
        <w:ind w:left="360" w:firstLine="0"/>
      </w:pPr>
    </w:p>
    <w:p w:rsidR="0041309E" w:rsidRPr="00F83E0C" w:rsidRDefault="0041309E" w:rsidP="002748A0">
      <w:pPr>
        <w:pStyle w:val="Odstavekseznama"/>
        <w:keepNext/>
        <w:numPr>
          <w:ilvl w:val="0"/>
          <w:numId w:val="186"/>
        </w:numPr>
      </w:pPr>
      <w:r>
        <w:rPr>
          <w:lang w:val="en-GB"/>
        </w:rPr>
        <w:t>The bank shall obtain at least the following information about the corporate for the purpose of drawing up the forbearance plan for a corporate exposure:</w:t>
      </w:r>
    </w:p>
    <w:p w:rsidR="0041309E" w:rsidRPr="00F83E0C" w:rsidRDefault="0041309E" w:rsidP="0041309E">
      <w:pPr>
        <w:pStyle w:val="Odstavekseznama"/>
        <w:numPr>
          <w:ilvl w:val="0"/>
          <w:numId w:val="152"/>
        </w:numPr>
      </w:pPr>
      <w:r>
        <w:rPr>
          <w:lang w:val="en-GB"/>
        </w:rPr>
        <w:t>a detailed itemisation of the reasons for the corporate’s difficulties that led to the problem exposure arising;</w:t>
      </w:r>
    </w:p>
    <w:p w:rsidR="0041309E" w:rsidRPr="00F83E0C" w:rsidRDefault="0041309E" w:rsidP="0041309E">
      <w:pPr>
        <w:pStyle w:val="Odstavekseznama"/>
        <w:numPr>
          <w:ilvl w:val="0"/>
          <w:numId w:val="152"/>
        </w:numPr>
      </w:pPr>
      <w:r>
        <w:rPr>
          <w:lang w:val="en-GB"/>
        </w:rPr>
        <w:t>the plan for the operational restructuring, ownership restructuring or financial restructuring of the corporate;</w:t>
      </w:r>
    </w:p>
    <w:p w:rsidR="0041309E" w:rsidRPr="00F83E0C" w:rsidRDefault="0041309E" w:rsidP="0041309E">
      <w:pPr>
        <w:pStyle w:val="Odstavekseznama"/>
        <w:numPr>
          <w:ilvl w:val="0"/>
          <w:numId w:val="152"/>
        </w:numPr>
      </w:pPr>
      <w:r>
        <w:rPr>
          <w:lang w:val="en-GB"/>
        </w:rPr>
        <w:t>a projection of the corporate’s cash flows for a period of at least three years or for the period defined in the restructuring plan (quarterly projections for the current year, and annual projections for other years), including the assumptions on which the forecasts of future cash flows are based.</w:t>
      </w:r>
    </w:p>
    <w:p w:rsidR="0041309E" w:rsidRDefault="0041309E" w:rsidP="0041309E">
      <w:pPr>
        <w:pStyle w:val="Odstavekseznama"/>
        <w:ind w:firstLine="0"/>
      </w:pPr>
    </w:p>
    <w:p w:rsidR="0041309E" w:rsidRPr="00F83E0C" w:rsidRDefault="0041309E" w:rsidP="00A06B0F">
      <w:pPr>
        <w:pStyle w:val="Odstavekseznama"/>
        <w:numPr>
          <w:ilvl w:val="0"/>
          <w:numId w:val="186"/>
        </w:numPr>
      </w:pPr>
      <w:r>
        <w:rPr>
          <w:lang w:val="en-GB"/>
        </w:rPr>
        <w:t>The bank shall draw up the following on the basis of the information referred to in the first paragraph of this article:</w:t>
      </w:r>
    </w:p>
    <w:p w:rsidR="0041309E" w:rsidRPr="00F83E0C" w:rsidRDefault="0041309E" w:rsidP="00A06B0F">
      <w:pPr>
        <w:pStyle w:val="Odstavekseznama"/>
        <w:numPr>
          <w:ilvl w:val="0"/>
          <w:numId w:val="191"/>
        </w:numPr>
      </w:pPr>
      <w:r>
        <w:rPr>
          <w:lang w:val="en-GB"/>
        </w:rPr>
        <w:t>an assessment of the feasibility of the plan for the operational restructuring, ownership restructuring or financial restructuring of the corporate;</w:t>
      </w:r>
    </w:p>
    <w:p w:rsidR="0041309E" w:rsidRPr="00F83E0C" w:rsidRDefault="0041309E" w:rsidP="00A06B0F">
      <w:pPr>
        <w:pStyle w:val="Odstavekseznama"/>
        <w:numPr>
          <w:ilvl w:val="0"/>
          <w:numId w:val="191"/>
        </w:numPr>
      </w:pPr>
      <w:r>
        <w:rPr>
          <w:lang w:val="en-GB"/>
        </w:rPr>
        <w:t>analysis of the possible methods of forbearance of the corporate exposure, and the arguments for the forbearance method chosen;</w:t>
      </w:r>
    </w:p>
    <w:p w:rsidR="0041309E" w:rsidRPr="00F83E0C" w:rsidRDefault="0041309E" w:rsidP="00A06B0F">
      <w:pPr>
        <w:pStyle w:val="Odstavekseznama"/>
        <w:numPr>
          <w:ilvl w:val="0"/>
          <w:numId w:val="191"/>
        </w:numPr>
      </w:pPr>
      <w:r>
        <w:rPr>
          <w:lang w:val="en-GB"/>
        </w:rPr>
        <w:t>a new amortisation schedule for the repayment of the loan, which is the basis for monitoring the implementation of the forbearance plan for the exposure.</w:t>
      </w:r>
    </w:p>
    <w:p w:rsidR="0041309E" w:rsidRDefault="0041309E" w:rsidP="0041309E">
      <w:pPr>
        <w:ind w:firstLine="360"/>
      </w:pPr>
    </w:p>
    <w:p w:rsidR="0041309E" w:rsidRPr="000D7BE7" w:rsidRDefault="0041309E" w:rsidP="0041309E">
      <w:pPr>
        <w:pStyle w:val="Odstavekseznama"/>
        <w:ind w:left="360" w:firstLine="0"/>
      </w:pPr>
      <w:r>
        <w:rPr>
          <w:lang w:val="en-GB"/>
        </w:rPr>
        <w:t>In deciding on the corporate restructuring method the bank shall primarily take account of the cash flows that the corporate will generate during the restructuring period and the likelihood that the forecast cash flows will actually be realised (sensitivity analysis) as a result of the operational restructuring, ownership restructuring or financial restructuring. The bank shall treat existing credit protection in accordance with Section 5 of this regulation.</w:t>
      </w:r>
    </w:p>
    <w:p w:rsidR="0041309E" w:rsidRDefault="0041309E" w:rsidP="0041309E">
      <w:pPr>
        <w:ind w:firstLine="360"/>
      </w:pPr>
    </w:p>
    <w:p w:rsidR="0041309E" w:rsidRPr="00F83E0C" w:rsidRDefault="0041309E" w:rsidP="00257DCA">
      <w:pPr>
        <w:pStyle w:val="Odstavekseznama"/>
        <w:numPr>
          <w:ilvl w:val="0"/>
          <w:numId w:val="186"/>
        </w:numPr>
      </w:pPr>
      <w:r>
        <w:rPr>
          <w:lang w:val="en-GB"/>
        </w:rPr>
        <w:t xml:space="preserve">If the bank concludes a restructuring agreement with the corporate on the basis of the documentation referred to in the second paragraph of this article, within the framework of monitoring the implementation of the forbearance plan for the exposure it shall monitor the implementation of the overall corporate restructuring plan and the resulting effects in the implementation of this plan. To this end the bank shall obtain up-to-date information from the corporate about its financial position on at least a quarterly basis, including figures for the realised cash flows in the previous quarter and a projection of cash flows for the upcoming period, information about the fulfilment of the corporate’s commitments under the restructuring plan, and information about other facts that could affect the corporate’s ability to repay the loan. </w:t>
      </w:r>
    </w:p>
    <w:p w:rsidR="0041309E" w:rsidRDefault="0041309E" w:rsidP="0041309E">
      <w:pPr>
        <w:pStyle w:val="Odstavekseznama"/>
        <w:ind w:left="360" w:firstLine="0"/>
      </w:pPr>
    </w:p>
    <w:p w:rsidR="0041309E" w:rsidRPr="00F83E0C" w:rsidRDefault="0041309E" w:rsidP="00257DCA">
      <w:pPr>
        <w:pStyle w:val="Odstavekseznama"/>
        <w:numPr>
          <w:ilvl w:val="0"/>
          <w:numId w:val="186"/>
        </w:numPr>
      </w:pPr>
      <w:proofErr w:type="gramStart"/>
      <w:r>
        <w:rPr>
          <w:lang w:val="en-GB"/>
        </w:rPr>
        <w:t xml:space="preserve">Unless stipulated otherwise by an agreement between the banks, in the case referred to in the second paragraph of Article </w:t>
      </w:r>
      <w:r>
        <w:rPr>
          <w:lang w:val="en-GB"/>
        </w:rPr>
        <w:fldChar w:fldCharType="begin"/>
      </w:r>
      <w:r>
        <w:rPr>
          <w:lang w:val="en-GB"/>
        </w:rPr>
        <w:instrText xml:space="preserve"> REF _Ref497998265 \r \h </w:instrText>
      </w:r>
      <w:r>
        <w:rPr>
          <w:lang w:val="en-GB"/>
        </w:rPr>
      </w:r>
      <w:r>
        <w:rPr>
          <w:lang w:val="en-GB"/>
        </w:rPr>
        <w:fldChar w:fldCharType="separate"/>
      </w:r>
      <w:r>
        <w:rPr>
          <w:lang w:val="en-GB"/>
        </w:rPr>
        <w:t>36</w:t>
      </w:r>
      <w:r>
        <w:rPr>
          <w:lang w:val="en-GB"/>
        </w:rPr>
        <w:fldChar w:fldCharType="end"/>
      </w:r>
      <w:r>
        <w:rPr>
          <w:lang w:val="en-GB"/>
        </w:rPr>
        <w:t xml:space="preserve"> the coordinator shall be responsible for gathering the information referred to in the first and third paragraphs and for preparing the documentation referred to in the second paragraph of this article, and shall forward this information to the other banks that signed the restructuring agreement.</w:t>
      </w:r>
      <w:proofErr w:type="gramEnd"/>
    </w:p>
    <w:p w:rsidR="0041309E" w:rsidRPr="00F83E0C" w:rsidRDefault="0041309E" w:rsidP="0041309E">
      <w:pPr>
        <w:pStyle w:val="Odstavekseznama"/>
        <w:ind w:left="360" w:firstLine="0"/>
      </w:pPr>
    </w:p>
    <w:p w:rsidR="0041309E" w:rsidRPr="00F83E0C" w:rsidRDefault="0041309E" w:rsidP="00257DCA">
      <w:pPr>
        <w:pStyle w:val="Odstavekseznama"/>
        <w:numPr>
          <w:ilvl w:val="0"/>
          <w:numId w:val="186"/>
        </w:numPr>
      </w:pPr>
      <w:r>
        <w:rPr>
          <w:lang w:val="en-GB"/>
        </w:rPr>
        <w:t>The information and documentation referred to in the first to third paragraphs of this article shall form an integral part of the bank’s credit file on the corporate in question.</w:t>
      </w:r>
    </w:p>
    <w:p w:rsidR="0041309E" w:rsidRDefault="0041309E" w:rsidP="0041309E">
      <w:pPr>
        <w:tabs>
          <w:tab w:val="left" w:pos="709"/>
        </w:tabs>
        <w:autoSpaceDE w:val="0"/>
        <w:autoSpaceDN w:val="0"/>
        <w:adjustRightInd w:val="0"/>
        <w:ind w:left="340"/>
      </w:pPr>
    </w:p>
    <w:p w:rsidR="00AA03AF" w:rsidRDefault="00AA03AF" w:rsidP="00A150C0">
      <w:pPr>
        <w:tabs>
          <w:tab w:val="left" w:pos="709"/>
        </w:tabs>
        <w:autoSpaceDE w:val="0"/>
        <w:autoSpaceDN w:val="0"/>
        <w:adjustRightInd w:val="0"/>
        <w:ind w:left="340"/>
      </w:pPr>
    </w:p>
    <w:p w:rsidR="00AC57CD" w:rsidRPr="00AC57CD" w:rsidRDefault="00AC57CD" w:rsidP="008D10DD">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MANAGEMENT OF DATA AND CREDIT DOCUMENTATION</w:t>
      </w:r>
    </w:p>
    <w:p w:rsidR="00C7694A" w:rsidRDefault="00C7694A" w:rsidP="008D10DD">
      <w:pPr>
        <w:keepNext/>
      </w:pPr>
    </w:p>
    <w:p w:rsidR="007D5C38" w:rsidRPr="00241FDB" w:rsidRDefault="00215D6B" w:rsidP="004D0C7B">
      <w:pPr>
        <w:keepNext/>
        <w:jc w:val="center"/>
        <w:rPr>
          <w:bCs/>
          <w:szCs w:val="22"/>
        </w:rPr>
      </w:pPr>
      <w:r>
        <w:rPr>
          <w:szCs w:val="22"/>
          <w:lang w:val="en-GB"/>
        </w:rPr>
        <w:t>Article 38</w:t>
      </w:r>
    </w:p>
    <w:p w:rsidR="007D5C38" w:rsidRDefault="007D5C38" w:rsidP="008D10DD">
      <w:pPr>
        <w:keepNext/>
        <w:autoSpaceDE w:val="0"/>
        <w:autoSpaceDN w:val="0"/>
        <w:adjustRightInd w:val="0"/>
        <w:jc w:val="center"/>
      </w:pPr>
      <w:r>
        <w:rPr>
          <w:lang w:val="en-GB"/>
        </w:rPr>
        <w:t>(</w:t>
      </w:r>
      <w:proofErr w:type="gramStart"/>
      <w:r>
        <w:rPr>
          <w:lang w:val="en-GB"/>
        </w:rPr>
        <w:t>data</w:t>
      </w:r>
      <w:proofErr w:type="gramEnd"/>
      <w:r>
        <w:rPr>
          <w:lang w:val="en-GB"/>
        </w:rPr>
        <w:t xml:space="preserve"> management)</w:t>
      </w:r>
    </w:p>
    <w:p w:rsidR="007D5C38" w:rsidRDefault="007D5C38" w:rsidP="008D10DD">
      <w:pPr>
        <w:keepNext/>
        <w:autoSpaceDE w:val="0"/>
        <w:autoSpaceDN w:val="0"/>
        <w:adjustRightInd w:val="0"/>
        <w:jc w:val="center"/>
      </w:pPr>
    </w:p>
    <w:p w:rsidR="00AC57CD" w:rsidRPr="00F83E0C" w:rsidRDefault="00AC57CD" w:rsidP="008D10DD">
      <w:pPr>
        <w:pStyle w:val="Odstavekseznama"/>
        <w:keepNext/>
        <w:numPr>
          <w:ilvl w:val="0"/>
          <w:numId w:val="51"/>
        </w:numPr>
      </w:pPr>
      <w:r>
        <w:rPr>
          <w:lang w:val="en-GB"/>
        </w:rPr>
        <w:t xml:space="preserve">A bank shall put in place appropriate information infrastructure for the collection and storage of data deriving from the processes of the identification, measurement or assessment, control and monitoring of credit risk. The bank shall regularly review the appropriateness of the information infrastructure.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Pr>
          <w:lang w:val="en-GB"/>
        </w:rPr>
        <w:t xml:space="preserve">The bank shall design procedures and processes that ensure data quality from the perspective of its accuracy, completeness and appropriateness in all credit risk management processes.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Pr>
          <w:lang w:val="en-GB"/>
        </w:rPr>
        <w:t>The accuracy of the data relates to the level of confidence that the data is correct. It should be high enough to ensure that the bank avoids the significant distortion of the final data used in decision-making processes. The completeness of the data relates to the inclusion of all significant data required in individual credit risk management processes, whereby the bank minimises the occurrence of data shortfalls. The appropriateness of the data means that the data may not be biased. Data quality shall be reviewed at least once a year by the internal audit function.</w:t>
      </w:r>
    </w:p>
    <w:p w:rsidR="00AC57CD" w:rsidRPr="00F83E0C" w:rsidRDefault="00AC57CD" w:rsidP="001B4EBF">
      <w:pPr>
        <w:pStyle w:val="Odstavekseznama"/>
        <w:ind w:left="360" w:firstLine="0"/>
      </w:pPr>
    </w:p>
    <w:p w:rsidR="00AC57CD" w:rsidRDefault="00AC57CD" w:rsidP="001B4EBF">
      <w:pPr>
        <w:pStyle w:val="Odstavekseznama"/>
        <w:numPr>
          <w:ilvl w:val="0"/>
          <w:numId w:val="51"/>
        </w:numPr>
      </w:pPr>
      <w:r>
        <w:rPr>
          <w:lang w:val="en-GB"/>
        </w:rPr>
        <w:t xml:space="preserve">For the purpose of reducing the impact of human error, the bank shall provide for the automation of all material processes. Information systems shall be reliable, appropriately documented and regularly reviewed. </w:t>
      </w:r>
    </w:p>
    <w:p w:rsidR="00AC57CD" w:rsidRDefault="00AC57CD" w:rsidP="007D5C38">
      <w:pPr>
        <w:pStyle w:val="Odstavekseznama"/>
        <w:ind w:left="360" w:firstLine="0"/>
      </w:pPr>
    </w:p>
    <w:p w:rsidR="007D5C38" w:rsidRPr="00241FDB" w:rsidRDefault="00215D6B" w:rsidP="004D0C7B">
      <w:pPr>
        <w:jc w:val="center"/>
        <w:rPr>
          <w:bCs/>
          <w:szCs w:val="22"/>
        </w:rPr>
      </w:pPr>
      <w:r>
        <w:rPr>
          <w:szCs w:val="22"/>
          <w:lang w:val="en-GB"/>
        </w:rPr>
        <w:t>Article 39</w:t>
      </w:r>
    </w:p>
    <w:p w:rsidR="007D5C38" w:rsidRDefault="007D5C38" w:rsidP="007D5C38">
      <w:pPr>
        <w:autoSpaceDE w:val="0"/>
        <w:autoSpaceDN w:val="0"/>
        <w:adjustRightInd w:val="0"/>
        <w:jc w:val="center"/>
      </w:pPr>
      <w:r>
        <w:rPr>
          <w:lang w:val="en-GB"/>
        </w:rPr>
        <w:t>(</w:t>
      </w:r>
      <w:proofErr w:type="gramStart"/>
      <w:r>
        <w:rPr>
          <w:lang w:val="en-GB"/>
        </w:rPr>
        <w:t>administration</w:t>
      </w:r>
      <w:proofErr w:type="gramEnd"/>
      <w:r>
        <w:rPr>
          <w:lang w:val="en-GB"/>
        </w:rPr>
        <w:t xml:space="preserve"> and content of credit files)</w:t>
      </w:r>
    </w:p>
    <w:p w:rsidR="007D5C38" w:rsidRDefault="007D5C38" w:rsidP="007D5C38">
      <w:pPr>
        <w:pStyle w:val="Odstavekseznama"/>
        <w:ind w:left="360" w:firstLine="0"/>
      </w:pPr>
    </w:p>
    <w:p w:rsidR="003D700A" w:rsidRPr="00C35F9D" w:rsidRDefault="007D5C38" w:rsidP="007D5C38">
      <w:pPr>
        <w:pStyle w:val="Odstavekseznama"/>
        <w:numPr>
          <w:ilvl w:val="0"/>
          <w:numId w:val="116"/>
        </w:numPr>
      </w:pPr>
      <w:r>
        <w:rPr>
          <w:lang w:val="en-GB"/>
        </w:rPr>
        <w:t>A bank shall secure its information and documentation about debtors by administering credit files. The credit file shall state basic information about the debtor, information about the financial position thereof, and the details of the credit relationship.</w:t>
      </w:r>
    </w:p>
    <w:p w:rsidR="00C7694A" w:rsidRDefault="00C7694A" w:rsidP="00C7694A">
      <w:pPr>
        <w:autoSpaceDE w:val="0"/>
        <w:autoSpaceDN w:val="0"/>
        <w:adjustRightInd w:val="0"/>
        <w:ind w:left="360" w:hanging="360"/>
      </w:pPr>
    </w:p>
    <w:p w:rsidR="00C7694A" w:rsidRPr="00562569" w:rsidRDefault="00C7694A" w:rsidP="007D5C38">
      <w:pPr>
        <w:pStyle w:val="Odstavekseznama"/>
        <w:numPr>
          <w:ilvl w:val="0"/>
          <w:numId w:val="116"/>
        </w:numPr>
      </w:pPr>
      <w:r>
        <w:rPr>
          <w:lang w:val="en-GB"/>
        </w:rPr>
        <w:t>Business entities’ credit files shall include at least the following:</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basic information about the debtor (business name, registered office, number of employees, ownership structure, senior management, direct and indirect capital links);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details of the debtor’s principal creditors and debtors;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the financial statements for last three years;</w:t>
      </w:r>
    </w:p>
    <w:p w:rsidR="00C410B9" w:rsidRPr="00562569" w:rsidRDefault="00C7694A" w:rsidP="00457CEF">
      <w:pPr>
        <w:pStyle w:val="Odstavekseznama"/>
        <w:numPr>
          <w:ilvl w:val="0"/>
          <w:numId w:val="52"/>
        </w:numPr>
        <w:tabs>
          <w:tab w:val="left" w:pos="709"/>
          <w:tab w:val="num" w:pos="1136"/>
        </w:tabs>
        <w:autoSpaceDE w:val="0"/>
        <w:autoSpaceDN w:val="0"/>
        <w:adjustRightInd w:val="0"/>
      </w:pPr>
      <w:r>
        <w:rPr>
          <w:lang w:val="en-GB"/>
        </w:rPr>
        <w:t xml:space="preserve">information from the central credit register about the debtor and the bank’s connected clients, including their indebtedness, which is obtained by the bank before credit approval; </w:t>
      </w:r>
    </w:p>
    <w:p w:rsidR="00C7694A" w:rsidRPr="00562569" w:rsidRDefault="00C7694A" w:rsidP="00535DEB">
      <w:pPr>
        <w:pStyle w:val="Odstavekseznama"/>
        <w:numPr>
          <w:ilvl w:val="0"/>
          <w:numId w:val="52"/>
        </w:numPr>
        <w:tabs>
          <w:tab w:val="left" w:pos="709"/>
          <w:tab w:val="num" w:pos="1136"/>
        </w:tabs>
        <w:autoSpaceDE w:val="0"/>
        <w:autoSpaceDN w:val="0"/>
        <w:adjustRightInd w:val="0"/>
      </w:pPr>
      <w:r>
        <w:rPr>
          <w:lang w:val="en-GB"/>
        </w:rPr>
        <w:t>analysis and an assessment of the credit risk of the debtor and related parties (at least persons in the debtor’s group that fall within accounting consolidation) or of the exposure;</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in the event of the default of the debtor/exposure, analysis and an estimate of the cash flows for the settlement of the liabilities;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a list of the on-balance-sheet and off-balance-sheet exposures to the debtor and connected clients (by individual type of instrument and transaction);</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the application for approval of the transaction and the proposal by technical personnel;</w:t>
      </w:r>
    </w:p>
    <w:p w:rsidR="009B51D2" w:rsidRDefault="00C7694A" w:rsidP="00457CEF">
      <w:pPr>
        <w:pStyle w:val="Odstavekseznama"/>
        <w:numPr>
          <w:ilvl w:val="0"/>
          <w:numId w:val="52"/>
        </w:numPr>
        <w:tabs>
          <w:tab w:val="left" w:pos="709"/>
          <w:tab w:val="num" w:pos="1136"/>
        </w:tabs>
        <w:autoSpaceDE w:val="0"/>
        <w:autoSpaceDN w:val="0"/>
        <w:adjustRightInd w:val="0"/>
      </w:pPr>
      <w:r>
        <w:rPr>
          <w:lang w:val="en-GB"/>
        </w:rPr>
        <w:t xml:space="preserve">the resolution by the body responsible for approving the transaction; </w:t>
      </w:r>
    </w:p>
    <w:p w:rsidR="009B51D2" w:rsidRPr="00400FF3" w:rsidRDefault="00C7694A" w:rsidP="009B51D2">
      <w:pPr>
        <w:pStyle w:val="Odstavekseznama"/>
        <w:numPr>
          <w:ilvl w:val="0"/>
          <w:numId w:val="52"/>
        </w:numPr>
        <w:tabs>
          <w:tab w:val="left" w:pos="709"/>
          <w:tab w:val="num" w:pos="1136"/>
        </w:tabs>
        <w:autoSpaceDE w:val="0"/>
        <w:autoSpaceDN w:val="0"/>
        <w:adjustRightInd w:val="0"/>
      </w:pPr>
      <w:r>
        <w:rPr>
          <w:lang w:val="en-GB"/>
        </w:rPr>
        <w:t xml:space="preserve">the contract concluded for the transaction, and documentation that makes evident the grounds for any non-inclusion of standard contractual commitments; </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analytical book-keeping records;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evidence of the credit protection and documentation of the realisation of the credit protection;</w:t>
      </w:r>
    </w:p>
    <w:p w:rsidR="00562569" w:rsidRPr="009B51D2" w:rsidRDefault="00562569" w:rsidP="00562569">
      <w:pPr>
        <w:pStyle w:val="Odstavekseznama"/>
        <w:numPr>
          <w:ilvl w:val="0"/>
          <w:numId w:val="52"/>
        </w:numPr>
      </w:pPr>
      <w:r>
        <w:rPr>
          <w:lang w:val="en-GB"/>
        </w:rPr>
        <w:t xml:space="preserve">the information and documentation referred to in the first to third paragraphs of Article </w:t>
      </w:r>
      <w:r>
        <w:rPr>
          <w:lang w:val="en-GB"/>
        </w:rPr>
        <w:fldChar w:fldCharType="begin"/>
      </w:r>
      <w:r>
        <w:rPr>
          <w:lang w:val="en-GB"/>
        </w:rPr>
        <w:instrText xml:space="preserve"> REF _Ref498000059 \r \h </w:instrText>
      </w:r>
      <w:r>
        <w:rPr>
          <w:lang w:val="en-GB"/>
        </w:rPr>
      </w:r>
      <w:r>
        <w:rPr>
          <w:lang w:val="en-GB"/>
        </w:rPr>
        <w:fldChar w:fldCharType="separate"/>
      </w:r>
      <w:r>
        <w:rPr>
          <w:lang w:val="en-GB"/>
        </w:rPr>
        <w:t>37</w:t>
      </w:r>
      <w:r>
        <w:rPr>
          <w:lang w:val="en-GB"/>
        </w:rPr>
        <w:fldChar w:fldCharType="end"/>
      </w:r>
      <w:r>
        <w:rPr>
          <w:lang w:val="en-GB"/>
        </w:rPr>
        <w:t xml:space="preserve"> of this regulation;</w:t>
      </w:r>
    </w:p>
    <w:p w:rsidR="00C7694A" w:rsidRPr="00436F13" w:rsidRDefault="00C7694A" w:rsidP="00457CEF">
      <w:pPr>
        <w:pStyle w:val="Odstavekseznama"/>
        <w:numPr>
          <w:ilvl w:val="0"/>
          <w:numId w:val="52"/>
        </w:numPr>
        <w:tabs>
          <w:tab w:val="left" w:pos="709"/>
          <w:tab w:val="num" w:pos="1136"/>
        </w:tabs>
        <w:autoSpaceDE w:val="0"/>
        <w:autoSpaceDN w:val="0"/>
        <w:adjustRightInd w:val="0"/>
      </w:pPr>
      <w:r>
        <w:rPr>
          <w:lang w:val="en-GB"/>
        </w:rPr>
        <w:t>other significant documentation.</w:t>
      </w:r>
    </w:p>
    <w:p w:rsidR="00457CEF" w:rsidRDefault="00457CEF" w:rsidP="00C7694A">
      <w:pPr>
        <w:autoSpaceDE w:val="0"/>
        <w:autoSpaceDN w:val="0"/>
        <w:adjustRightInd w:val="0"/>
      </w:pPr>
    </w:p>
    <w:p w:rsidR="00C7694A" w:rsidRDefault="00C7694A" w:rsidP="00842EF9">
      <w:pPr>
        <w:pStyle w:val="Odstavekseznama"/>
        <w:numPr>
          <w:ilvl w:val="0"/>
          <w:numId w:val="116"/>
        </w:numPr>
      </w:pPr>
      <w:r>
        <w:rPr>
          <w:lang w:val="en-GB"/>
        </w:rPr>
        <w:t xml:space="preserve">The provisions of the second paragraph of this article shall also apply </w:t>
      </w:r>
      <w:r>
        <w:rPr>
          <w:i/>
          <w:iCs/>
          <w:lang w:val="en-GB"/>
        </w:rPr>
        <w:t xml:space="preserve">mutatis mutandis </w:t>
      </w:r>
      <w:r>
        <w:rPr>
          <w:lang w:val="en-GB"/>
        </w:rPr>
        <w:t>to the administration of natural persons’ credit files.</w:t>
      </w:r>
    </w:p>
    <w:p w:rsidR="00C7694A" w:rsidRDefault="00C7694A" w:rsidP="00C7694A">
      <w:pPr>
        <w:autoSpaceDE w:val="0"/>
        <w:autoSpaceDN w:val="0"/>
        <w:adjustRightInd w:val="0"/>
      </w:pPr>
    </w:p>
    <w:p w:rsidR="00C7694A" w:rsidRDefault="00C7694A" w:rsidP="000E5F7F">
      <w:pPr>
        <w:pStyle w:val="Odstavekseznama"/>
        <w:numPr>
          <w:ilvl w:val="0"/>
          <w:numId w:val="116"/>
        </w:numPr>
      </w:pPr>
      <w:r>
        <w:rPr>
          <w:lang w:val="en-GB"/>
        </w:rPr>
        <w:t xml:space="preserve">The bank shall draw up guidelines for administering the credit files that cover updating the credit file, obtaining financial information and conducting correspondence in connection with repayment, and shall designate the persons responsible for ensuring that the files are correct and complete. </w:t>
      </w:r>
    </w:p>
    <w:p w:rsidR="00A22D59" w:rsidRDefault="00A22D59" w:rsidP="008843C4">
      <w:pPr>
        <w:pStyle w:val="Odstavekseznama"/>
        <w:ind w:left="0"/>
      </w:pPr>
    </w:p>
    <w:p w:rsidR="00780D9E" w:rsidRDefault="00780D9E" w:rsidP="00780D9E">
      <w:pPr>
        <w:pStyle w:val="Odstavekseznama"/>
        <w:ind w:left="0"/>
      </w:pPr>
    </w:p>
    <w:p w:rsidR="007E0C32" w:rsidRPr="00AC57CD" w:rsidRDefault="00A530E7" w:rsidP="006D47B5">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REPORTING ON CREDIT RISK</w:t>
      </w:r>
    </w:p>
    <w:p w:rsidR="007E0C32" w:rsidRDefault="007E0C32" w:rsidP="006D47B5">
      <w:pPr>
        <w:keepNext/>
        <w:autoSpaceDE w:val="0"/>
        <w:autoSpaceDN w:val="0"/>
        <w:adjustRightInd w:val="0"/>
      </w:pPr>
    </w:p>
    <w:p w:rsidR="007E0C32" w:rsidRPr="00241FDB" w:rsidRDefault="007E0C32" w:rsidP="004D0C7B">
      <w:pPr>
        <w:keepNext/>
        <w:jc w:val="center"/>
        <w:rPr>
          <w:bCs/>
          <w:szCs w:val="22"/>
        </w:rPr>
      </w:pPr>
      <w:r>
        <w:rPr>
          <w:szCs w:val="22"/>
          <w:lang w:val="en-GB"/>
        </w:rPr>
        <w:t>Article 40</w:t>
      </w:r>
    </w:p>
    <w:p w:rsidR="007E0C32" w:rsidRDefault="007E0C32" w:rsidP="006D47B5">
      <w:pPr>
        <w:keepNext/>
        <w:autoSpaceDE w:val="0"/>
        <w:autoSpaceDN w:val="0"/>
        <w:adjustRightInd w:val="0"/>
        <w:jc w:val="center"/>
      </w:pPr>
      <w:r>
        <w:rPr>
          <w:lang w:val="en-GB"/>
        </w:rPr>
        <w:t>(</w:t>
      </w:r>
      <w:proofErr w:type="gramStart"/>
      <w:r>
        <w:rPr>
          <w:lang w:val="en-GB"/>
        </w:rPr>
        <w:t>credit</w:t>
      </w:r>
      <w:proofErr w:type="gramEnd"/>
      <w:r>
        <w:rPr>
          <w:lang w:val="en-GB"/>
        </w:rPr>
        <w:t xml:space="preserve"> risk report)</w:t>
      </w:r>
    </w:p>
    <w:p w:rsidR="00A530E7" w:rsidRDefault="00A530E7" w:rsidP="006D47B5">
      <w:pPr>
        <w:keepNext/>
        <w:autoSpaceDE w:val="0"/>
        <w:autoSpaceDN w:val="0"/>
        <w:adjustRightInd w:val="0"/>
        <w:jc w:val="center"/>
      </w:pPr>
    </w:p>
    <w:p w:rsidR="00A530E7" w:rsidRPr="00F83E0C" w:rsidRDefault="00A530E7" w:rsidP="006D47B5">
      <w:pPr>
        <w:pStyle w:val="Odstavekseznama"/>
        <w:keepNext/>
        <w:numPr>
          <w:ilvl w:val="0"/>
          <w:numId w:val="164"/>
        </w:numPr>
      </w:pPr>
      <w:r>
        <w:rPr>
          <w:lang w:val="en-GB"/>
        </w:rPr>
        <w:t xml:space="preserve">A bank shall put in place processes that provide for the production of a structured credit risk report, including assessments of future trends for the relevant managerial levels at the bank. The bank shall take account of the results of this analysis in formulating its strategies and policies for the take-up and management of credit risk, and shall determine their appropriateness. </w:t>
      </w:r>
    </w:p>
    <w:p w:rsidR="00A530E7" w:rsidRPr="00F83E0C" w:rsidRDefault="00A530E7" w:rsidP="00A530E7">
      <w:pPr>
        <w:pStyle w:val="Odstavekseznama"/>
        <w:ind w:left="360" w:firstLine="0"/>
      </w:pPr>
    </w:p>
    <w:p w:rsidR="00A530E7" w:rsidRPr="003D57BB" w:rsidRDefault="00A530E7" w:rsidP="00A530E7">
      <w:pPr>
        <w:pStyle w:val="Odstavekseznama"/>
        <w:numPr>
          <w:ilvl w:val="0"/>
          <w:numId w:val="164"/>
        </w:numPr>
      </w:pPr>
      <w:r>
        <w:rPr>
          <w:lang w:val="en-GB"/>
        </w:rPr>
        <w:t>The bank shall put in place processes that provide for the production of credit risk reports for the purposes of supervisory reporting, which includes ensuring the quality of the data in the reports and an appropriate process for approving the reports before submission to the supervisor.</w:t>
      </w:r>
    </w:p>
    <w:p w:rsidR="00A530E7" w:rsidRDefault="00A530E7" w:rsidP="007E0C32">
      <w:pPr>
        <w:autoSpaceDE w:val="0"/>
        <w:autoSpaceDN w:val="0"/>
        <w:adjustRightInd w:val="0"/>
        <w:jc w:val="center"/>
      </w:pPr>
    </w:p>
    <w:p w:rsidR="007E0C32" w:rsidRPr="00780D9E" w:rsidRDefault="007E0C32" w:rsidP="00780D9E">
      <w:pPr>
        <w:pStyle w:val="Odstavekseznama"/>
        <w:ind w:left="0"/>
      </w:pPr>
    </w:p>
    <w:p w:rsidR="00C222F7" w:rsidRPr="005F4665" w:rsidRDefault="00C222F7" w:rsidP="007E0C32">
      <w:pPr>
        <w:pStyle w:val="Naslov1"/>
        <w:numPr>
          <w:ilvl w:val="0"/>
          <w:numId w:val="98"/>
        </w:numPr>
        <w:jc w:val="center"/>
        <w:rPr>
          <w:rFonts w:ascii="Times New Roman" w:hAnsi="Times New Roman" w:cs="Arial"/>
          <w:i w:val="0"/>
          <w:caps/>
          <w:color w:val="000000" w:themeColor="text1"/>
          <w:kern w:val="32"/>
          <w:szCs w:val="22"/>
        </w:rPr>
      </w:pPr>
      <w:r>
        <w:rPr>
          <w:rFonts w:ascii="Times New Roman" w:hAnsi="Times New Roman" w:cs="Arial"/>
          <w:bCs/>
          <w:i w:val="0"/>
          <w:caps/>
          <w:color w:val="000000" w:themeColor="text1"/>
          <w:kern w:val="32"/>
          <w:szCs w:val="22"/>
          <w:lang w:val="en-GB"/>
        </w:rPr>
        <w:t>FINAL AND TRANSITIONAL PROVISIONS</w:t>
      </w:r>
    </w:p>
    <w:p w:rsidR="00C222F7" w:rsidRPr="005F4665" w:rsidRDefault="00C222F7" w:rsidP="00C222F7">
      <w:pPr>
        <w:jc w:val="left"/>
        <w:rPr>
          <w:bCs/>
          <w:szCs w:val="22"/>
        </w:rPr>
      </w:pPr>
    </w:p>
    <w:p w:rsidR="00C222F7" w:rsidRPr="005F4665" w:rsidRDefault="00C222F7" w:rsidP="004D0C7B">
      <w:pPr>
        <w:jc w:val="center"/>
        <w:rPr>
          <w:bCs/>
          <w:szCs w:val="22"/>
        </w:rPr>
      </w:pPr>
      <w:r>
        <w:rPr>
          <w:szCs w:val="22"/>
          <w:lang w:val="en-GB"/>
        </w:rPr>
        <w:t>Article 41</w:t>
      </w:r>
    </w:p>
    <w:p w:rsidR="00C222F7" w:rsidRPr="005F4665" w:rsidRDefault="00C222F7" w:rsidP="00C222F7">
      <w:pPr>
        <w:tabs>
          <w:tab w:val="left" w:pos="6521"/>
        </w:tabs>
        <w:ind w:left="360" w:hanging="360"/>
        <w:jc w:val="center"/>
      </w:pPr>
      <w:r>
        <w:rPr>
          <w:lang w:val="en-GB"/>
        </w:rPr>
        <w:t>(</w:t>
      </w:r>
      <w:proofErr w:type="gramStart"/>
      <w:r>
        <w:rPr>
          <w:lang w:val="en-GB"/>
        </w:rPr>
        <w:t>entry</w:t>
      </w:r>
      <w:proofErr w:type="gramEnd"/>
      <w:r>
        <w:rPr>
          <w:lang w:val="en-GB"/>
        </w:rPr>
        <w:t xml:space="preserve"> into force)</w:t>
      </w:r>
    </w:p>
    <w:p w:rsidR="00C222F7" w:rsidRPr="005F4665" w:rsidRDefault="00C222F7" w:rsidP="00C222F7">
      <w:pPr>
        <w:tabs>
          <w:tab w:val="left" w:pos="6521"/>
        </w:tabs>
        <w:ind w:left="360" w:hanging="360"/>
      </w:pPr>
    </w:p>
    <w:p w:rsidR="001E0769" w:rsidRDefault="00C222F7" w:rsidP="003D57BB">
      <w:pPr>
        <w:pStyle w:val="Odstavekseznama"/>
        <w:numPr>
          <w:ilvl w:val="0"/>
          <w:numId w:val="185"/>
        </w:numPr>
      </w:pPr>
      <w:r>
        <w:rPr>
          <w:lang w:val="en-GB"/>
        </w:rPr>
        <w:t xml:space="preserve">This regulation shall enter into force on the day after its publication in the Official Gazette of the Republic of Slovenia, and shall begin to be applied on 1 January 2018, with the exception of the provision of the fifth paragraph of Article 32, which may begin to be applied upon the entry into force of this regulation. </w:t>
      </w:r>
    </w:p>
    <w:p w:rsidR="003D57BB" w:rsidRDefault="003D57BB" w:rsidP="00436F13">
      <w:pPr>
        <w:pStyle w:val="Odstavekseznama"/>
        <w:ind w:left="360" w:firstLine="0"/>
      </w:pPr>
    </w:p>
    <w:p w:rsidR="008539D3" w:rsidRPr="002748A0" w:rsidRDefault="00FE0D46" w:rsidP="003D57BB">
      <w:pPr>
        <w:pStyle w:val="Odstavekseznama"/>
        <w:numPr>
          <w:ilvl w:val="0"/>
          <w:numId w:val="185"/>
        </w:numPr>
      </w:pPr>
      <w:r>
        <w:rPr>
          <w:lang w:val="en-GB"/>
        </w:rPr>
        <w:t xml:space="preserve">The first paragraph of this article notwithstanding, for real estate collateral where the value is estimated in accordance with the Regulation on the assessment of credit risk losses of banks and savings banks (Official Gazette of the Republic of Slovenia, Nos. 50/15 and 96/15) a bank shall estimate its value in accordance with Article </w:t>
      </w:r>
      <w:r>
        <w:rPr>
          <w:lang w:val="en-GB"/>
        </w:rPr>
        <w:fldChar w:fldCharType="begin"/>
      </w:r>
      <w:r>
        <w:rPr>
          <w:lang w:val="en-GB"/>
        </w:rPr>
        <w:instrText xml:space="preserve"> REF _Ref497923881 \r \h  \* MERGEFORMAT </w:instrText>
      </w:r>
      <w:r>
        <w:rPr>
          <w:lang w:val="en-GB"/>
        </w:rPr>
      </w:r>
      <w:r>
        <w:rPr>
          <w:lang w:val="en-GB"/>
        </w:rPr>
        <w:fldChar w:fldCharType="separate"/>
      </w:r>
      <w:r>
        <w:rPr>
          <w:lang w:val="en-GB"/>
        </w:rPr>
        <w:t>23</w:t>
      </w:r>
      <w:r>
        <w:rPr>
          <w:lang w:val="en-GB"/>
        </w:rPr>
        <w:fldChar w:fldCharType="end"/>
      </w:r>
      <w:r>
        <w:rPr>
          <w:lang w:val="en-GB"/>
        </w:rPr>
        <w:t xml:space="preserve"> of this regulation:</w:t>
      </w:r>
    </w:p>
    <w:p w:rsidR="00E452CB" w:rsidRPr="002748A0" w:rsidRDefault="00E452CB" w:rsidP="008D10DD">
      <w:pPr>
        <w:pStyle w:val="Odstavekseznama"/>
        <w:numPr>
          <w:ilvl w:val="0"/>
          <w:numId w:val="189"/>
        </w:numPr>
        <w:ind w:left="720"/>
      </w:pPr>
      <w:r>
        <w:rPr>
          <w:lang w:val="en-GB"/>
        </w:rPr>
        <w:t>for commercial real estate, by no later than one year after the most recent valid valuation of the commercial real estate;</w:t>
      </w:r>
    </w:p>
    <w:p w:rsidR="00E452CB" w:rsidRPr="002748A0" w:rsidRDefault="00E452CB" w:rsidP="008D10DD">
      <w:pPr>
        <w:pStyle w:val="Odstavekseznama"/>
        <w:numPr>
          <w:ilvl w:val="0"/>
          <w:numId w:val="188"/>
        </w:numPr>
        <w:ind w:left="720"/>
      </w:pPr>
      <w:r>
        <w:rPr>
          <w:lang w:val="en-GB"/>
        </w:rPr>
        <w:t>for residential real estate serving as collateral for non-performing exposures, by no later than one year after the most recent valid valuation of the residential real estate;</w:t>
      </w:r>
    </w:p>
    <w:p w:rsidR="008539D3" w:rsidRPr="002748A0" w:rsidRDefault="00E452CB" w:rsidP="008D10DD">
      <w:pPr>
        <w:pStyle w:val="Odstavekseznama"/>
        <w:numPr>
          <w:ilvl w:val="0"/>
          <w:numId w:val="188"/>
        </w:numPr>
        <w:ind w:left="720"/>
      </w:pPr>
      <w:r>
        <w:rPr>
          <w:lang w:val="en-GB"/>
        </w:rPr>
        <w:t xml:space="preserve">for other residential real estate, by no later than three years after the most recent valid valuation of the residential real estate. </w:t>
      </w:r>
    </w:p>
    <w:p w:rsidR="00B738D6" w:rsidRPr="00436F13" w:rsidRDefault="00F264A7" w:rsidP="00436267">
      <w:pPr>
        <w:pStyle w:val="Odstavekseznama"/>
        <w:ind w:left="360" w:firstLine="0"/>
      </w:pPr>
      <w:r>
        <w:rPr>
          <w:lang w:val="en-GB"/>
        </w:rPr>
        <w:t>Notwithstanding the above, the bank shall estimate the value of real estate pursuant to the rules of this regulation earlier whenever there is a significant change in market conditions and/or there are signs of a material decline in the value of individual real estate collateral.</w:t>
      </w:r>
    </w:p>
    <w:p w:rsidR="00184054" w:rsidRDefault="00184054" w:rsidP="00436F13">
      <w:pPr>
        <w:pStyle w:val="Odstavekseznama"/>
      </w:pPr>
    </w:p>
    <w:p w:rsidR="003D57BB" w:rsidRPr="00A953AE" w:rsidRDefault="00F264A7" w:rsidP="003D57BB">
      <w:pPr>
        <w:pStyle w:val="Odstavekseznama"/>
        <w:numPr>
          <w:ilvl w:val="0"/>
          <w:numId w:val="185"/>
        </w:numPr>
      </w:pPr>
      <w:r>
        <w:rPr>
          <w:lang w:val="en-GB"/>
        </w:rPr>
        <w:t xml:space="preserve">The first paragraph of this article notwithstanding, the bank shall fully comply with the provisions of Articles 15 to 20 of this regulation within one year of the entry into force of this regulation.  </w:t>
      </w:r>
    </w:p>
    <w:p w:rsidR="00C222F7" w:rsidRPr="00A953AE" w:rsidRDefault="001E0769" w:rsidP="00C222F7">
      <w:pPr>
        <w:pStyle w:val="Telobesedila"/>
      </w:pPr>
      <w:r>
        <w:rPr>
          <w:lang w:val="en-GB"/>
        </w:rPr>
        <w:t xml:space="preserve"> </w:t>
      </w:r>
    </w:p>
    <w:p w:rsidR="00C222F7" w:rsidRPr="00A953AE" w:rsidRDefault="00C222F7" w:rsidP="004D0C7B">
      <w:pPr>
        <w:keepNext/>
        <w:jc w:val="center"/>
        <w:rPr>
          <w:bCs/>
          <w:szCs w:val="22"/>
        </w:rPr>
      </w:pPr>
      <w:r>
        <w:rPr>
          <w:szCs w:val="22"/>
          <w:lang w:val="en-GB"/>
        </w:rPr>
        <w:t>Article 42</w:t>
      </w:r>
    </w:p>
    <w:p w:rsidR="00C222F7" w:rsidRPr="005F4665" w:rsidRDefault="00C222F7" w:rsidP="008A27B1">
      <w:pPr>
        <w:keepNext/>
        <w:ind w:left="284"/>
        <w:jc w:val="center"/>
        <w:rPr>
          <w:bCs/>
          <w:szCs w:val="22"/>
        </w:rPr>
      </w:pPr>
      <w:r>
        <w:rPr>
          <w:szCs w:val="22"/>
          <w:lang w:val="en-GB"/>
        </w:rPr>
        <w:t>(</w:t>
      </w:r>
      <w:proofErr w:type="gramStart"/>
      <w:r>
        <w:rPr>
          <w:szCs w:val="22"/>
          <w:lang w:val="en-GB"/>
        </w:rPr>
        <w:t>cessation</w:t>
      </w:r>
      <w:proofErr w:type="gramEnd"/>
      <w:r>
        <w:rPr>
          <w:szCs w:val="22"/>
          <w:lang w:val="en-GB"/>
        </w:rPr>
        <w:t xml:space="preserve"> of application of regulation)</w:t>
      </w:r>
    </w:p>
    <w:p w:rsidR="00C222F7" w:rsidRPr="005F4665" w:rsidRDefault="00C222F7" w:rsidP="008A27B1">
      <w:pPr>
        <w:keepNext/>
        <w:tabs>
          <w:tab w:val="left" w:pos="6521"/>
        </w:tabs>
      </w:pPr>
    </w:p>
    <w:p w:rsidR="00C222F7" w:rsidRDefault="00C222F7" w:rsidP="003D57BB">
      <w:pPr>
        <w:keepNext/>
        <w:tabs>
          <w:tab w:val="left" w:pos="6521"/>
        </w:tabs>
      </w:pPr>
      <w:r>
        <w:rPr>
          <w:lang w:val="en-GB"/>
        </w:rPr>
        <w:t>On the day that this regulation enters into force, the Regulation on the assessment of credit risk losses of banks and savings banks (Official Gazette of the Republic of Slovenia, Nos. 50/15 and 96/15) shall cease to be in force.</w:t>
      </w:r>
    </w:p>
    <w:p w:rsidR="00C222F7" w:rsidRDefault="00C222F7" w:rsidP="00C222F7">
      <w:pPr>
        <w:pStyle w:val="Telobesedila"/>
      </w:pPr>
    </w:p>
    <w:p w:rsidR="008F533E" w:rsidRDefault="008F533E" w:rsidP="00C222F7">
      <w:pPr>
        <w:pStyle w:val="Telobesedila"/>
      </w:pPr>
    </w:p>
    <w:p w:rsidR="005327E7" w:rsidRDefault="005327E7" w:rsidP="002748A0">
      <w:pPr>
        <w:tabs>
          <w:tab w:val="left" w:pos="6521"/>
        </w:tabs>
      </w:pPr>
    </w:p>
    <w:p w:rsidR="005327E7" w:rsidRDefault="005327E7" w:rsidP="002748A0">
      <w:pPr>
        <w:tabs>
          <w:tab w:val="left" w:pos="6521"/>
        </w:tabs>
      </w:pPr>
    </w:p>
    <w:p w:rsidR="00901786" w:rsidRDefault="00C222F7" w:rsidP="002748A0">
      <w:pPr>
        <w:tabs>
          <w:tab w:val="left" w:pos="6521"/>
        </w:tabs>
      </w:pPr>
      <w:r>
        <w:rPr>
          <w:lang w:val="en-GB"/>
        </w:rPr>
        <w:t>Ljubljana, 27 November 2017</w:t>
      </w:r>
    </w:p>
    <w:p w:rsidR="005B7E6B" w:rsidRDefault="005B7E6B" w:rsidP="00901786">
      <w:pPr>
        <w:tabs>
          <w:tab w:val="left" w:pos="6521"/>
        </w:tabs>
        <w:ind w:left="5103"/>
        <w:jc w:val="center"/>
      </w:pPr>
    </w:p>
    <w:p w:rsidR="005327E7" w:rsidRDefault="005327E7" w:rsidP="00901786">
      <w:pPr>
        <w:tabs>
          <w:tab w:val="left" w:pos="6521"/>
        </w:tabs>
        <w:ind w:left="5103"/>
        <w:jc w:val="center"/>
      </w:pPr>
    </w:p>
    <w:p w:rsidR="00901786" w:rsidRDefault="00901786" w:rsidP="00901786">
      <w:pPr>
        <w:tabs>
          <w:tab w:val="left" w:pos="6521"/>
        </w:tabs>
        <w:ind w:left="5103"/>
        <w:jc w:val="center"/>
      </w:pPr>
      <w:r>
        <w:rPr>
          <w:lang w:val="en-GB"/>
        </w:rPr>
        <w:t>Boštjan Jazbec</w:t>
      </w:r>
    </w:p>
    <w:p w:rsidR="00901786" w:rsidRDefault="00901786" w:rsidP="00901786">
      <w:pPr>
        <w:tabs>
          <w:tab w:val="left" w:pos="6521"/>
        </w:tabs>
        <w:ind w:left="5103"/>
        <w:jc w:val="center"/>
      </w:pPr>
      <w:r>
        <w:rPr>
          <w:lang w:val="en-GB"/>
        </w:rPr>
        <w:t xml:space="preserve">President, </w:t>
      </w:r>
    </w:p>
    <w:p w:rsidR="00D950FC" w:rsidRDefault="00901786" w:rsidP="00676B9C">
      <w:pPr>
        <w:tabs>
          <w:tab w:val="left" w:pos="6521"/>
        </w:tabs>
        <w:ind w:left="5103"/>
        <w:jc w:val="center"/>
      </w:pPr>
      <w:r>
        <w:rPr>
          <w:lang w:val="en-GB"/>
        </w:rPr>
        <w:t>Governing Board of the Bank of Slovenia</w:t>
      </w:r>
    </w:p>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Default="00D950FC" w:rsidP="00D950FC"/>
    <w:p w:rsidR="00901786" w:rsidRPr="00D950FC" w:rsidRDefault="00901786" w:rsidP="00D950FC">
      <w:pPr>
        <w:jc w:val="center"/>
      </w:pPr>
    </w:p>
    <w:sectPr w:rsidR="00901786" w:rsidRPr="00D950FC" w:rsidSect="00B66017">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99" w:rsidRDefault="00E05C99">
      <w:r>
        <w:separator/>
      </w:r>
    </w:p>
  </w:endnote>
  <w:endnote w:type="continuationSeparator" w:id="0">
    <w:p w:rsidR="00E05C99" w:rsidRDefault="00E0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UAlbertina">
    <w:altName w:val="Arial Unicode MS"/>
    <w:charset w:val="00"/>
    <w:family w:val="roman"/>
    <w:pitch w:val="default"/>
    <w:sig w:usb0="00000001"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0637FF">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Pr>
        <w:rStyle w:val="tevilkastrani"/>
        <w:noProof/>
        <w:lang w:val="en-GB"/>
      </w:rPr>
      <w:t>1</w:t>
    </w:r>
    <w:r>
      <w:rPr>
        <w:rStyle w:val="tevilkastrani"/>
        <w:lang w:val="en-GB"/>
      </w:rPr>
      <w:fldChar w:fldCharType="end"/>
    </w:r>
  </w:p>
  <w:p w:rsidR="00037FA1" w:rsidRDefault="00037FA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5781"/>
      <w:docPartObj>
        <w:docPartGallery w:val="Page Numbers (Top of Page)"/>
        <w:docPartUnique/>
      </w:docPartObj>
    </w:sdtPr>
    <w:sdtEndPr/>
    <w:sdtContent>
      <w:p w:rsidR="006A6A3A" w:rsidRPr="0040633E" w:rsidRDefault="006A6A3A">
        <w:pPr>
          <w:jc w:val="center"/>
        </w:pPr>
        <w:r>
          <w:rPr>
            <w:sz w:val="24"/>
            <w:szCs w:val="24"/>
            <w:lang w:val="en-GB"/>
          </w:rPr>
          <w:fldChar w:fldCharType="begin"/>
        </w:r>
        <w:r>
          <w:rPr>
            <w:lang w:val="en-GB"/>
          </w:rPr>
          <w:instrText>PAGE</w:instrText>
        </w:r>
        <w:r>
          <w:rPr>
            <w:sz w:val="24"/>
            <w:szCs w:val="24"/>
            <w:lang w:val="en-GB"/>
          </w:rPr>
          <w:fldChar w:fldCharType="separate"/>
        </w:r>
        <w:r w:rsidR="005644AE">
          <w:rPr>
            <w:noProof/>
            <w:lang w:val="en-GB"/>
          </w:rPr>
          <w:t>21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5644AE">
          <w:rPr>
            <w:noProof/>
            <w:lang w:val="en-GB"/>
          </w:rPr>
          <w:t>23</w:t>
        </w:r>
        <w:r>
          <w:rPr>
            <w:sz w:val="24"/>
            <w:szCs w:val="24"/>
            <w:lang w:val="en-GB"/>
          </w:rPr>
          <w:fldChar w:fldCharType="end"/>
        </w:r>
      </w:p>
    </w:sdtContent>
  </w:sdt>
  <w:p w:rsidR="00037FA1" w:rsidRDefault="00037FA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8420"/>
      <w:docPartObj>
        <w:docPartGallery w:val="Page Numbers (Bottom of Page)"/>
        <w:docPartUnique/>
      </w:docPartObj>
    </w:sdtPr>
    <w:sdtEndPr>
      <w:rPr>
        <w:sz w:val="22"/>
        <w:szCs w:val="22"/>
      </w:rPr>
    </w:sdtEndPr>
    <w:sdtContent>
      <w:sdt>
        <w:sdtPr>
          <w:id w:val="-665555925"/>
          <w:docPartObj>
            <w:docPartGallery w:val="Page Numbers (Top of Page)"/>
            <w:docPartUnique/>
          </w:docPartObj>
        </w:sdtPr>
        <w:sdtEndPr>
          <w:rPr>
            <w:sz w:val="22"/>
            <w:szCs w:val="22"/>
          </w:rPr>
        </w:sdtEndPr>
        <w:sdtContent>
          <w:p w:rsidR="00037FA1" w:rsidRPr="00D66EE8" w:rsidRDefault="00037FA1">
            <w:pPr>
              <w:pStyle w:val="Noga"/>
              <w:jc w:val="center"/>
              <w:rPr>
                <w:sz w:val="22"/>
                <w:szCs w:val="22"/>
              </w:rPr>
            </w:pPr>
            <w:r>
              <w:rPr>
                <w:sz w:val="22"/>
                <w:szCs w:val="22"/>
                <w:lang w:val="en-GB"/>
              </w:rPr>
              <w:fldChar w:fldCharType="begin"/>
            </w:r>
            <w:r>
              <w:rPr>
                <w:sz w:val="22"/>
                <w:szCs w:val="22"/>
                <w:lang w:val="en-GB"/>
              </w:rPr>
              <w:instrText>PAGE</w:instrText>
            </w:r>
            <w:r>
              <w:rPr>
                <w:sz w:val="22"/>
                <w:szCs w:val="22"/>
                <w:lang w:val="en-GB"/>
              </w:rPr>
              <w:fldChar w:fldCharType="separate"/>
            </w:r>
            <w:r w:rsidR="005644AE">
              <w:rPr>
                <w:noProof/>
                <w:sz w:val="22"/>
                <w:szCs w:val="22"/>
                <w:lang w:val="en-GB"/>
              </w:rPr>
              <w:t>1</w:t>
            </w:r>
            <w:r>
              <w:rPr>
                <w:sz w:val="22"/>
                <w:szCs w:val="22"/>
                <w:lang w:val="en-GB"/>
              </w:rPr>
              <w:fldChar w:fldCharType="end"/>
            </w:r>
            <w:r>
              <w:rPr>
                <w:sz w:val="22"/>
                <w:szCs w:val="22"/>
                <w:lang w:val="en-GB"/>
              </w:rPr>
              <w:t xml:space="preserve"> of </w:t>
            </w:r>
            <w:r>
              <w:rPr>
                <w:sz w:val="22"/>
                <w:szCs w:val="22"/>
                <w:lang w:val="en-GB"/>
              </w:rPr>
              <w:fldChar w:fldCharType="begin"/>
            </w:r>
            <w:r>
              <w:rPr>
                <w:sz w:val="22"/>
                <w:szCs w:val="22"/>
                <w:lang w:val="en-GB"/>
              </w:rPr>
              <w:instrText>NUMPAGES</w:instrText>
            </w:r>
            <w:r>
              <w:rPr>
                <w:sz w:val="22"/>
                <w:szCs w:val="22"/>
                <w:lang w:val="en-GB"/>
              </w:rPr>
              <w:fldChar w:fldCharType="separate"/>
            </w:r>
            <w:r w:rsidR="005644AE">
              <w:rPr>
                <w:noProof/>
                <w:sz w:val="22"/>
                <w:szCs w:val="22"/>
                <w:lang w:val="en-GB"/>
              </w:rPr>
              <w:t>23</w:t>
            </w:r>
            <w:r>
              <w:rPr>
                <w:sz w:val="22"/>
                <w:szCs w:val="22"/>
                <w:lang w:val="en-GB"/>
              </w:rPr>
              <w:fldChar w:fldCharType="end"/>
            </w:r>
          </w:p>
        </w:sdtContent>
      </w:sdt>
    </w:sdtContent>
  </w:sdt>
  <w:p w:rsidR="00037FA1" w:rsidRDefault="00037FA1" w:rsidP="00A7235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99" w:rsidRDefault="00E05C99">
      <w:r>
        <w:separator/>
      </w:r>
    </w:p>
  </w:footnote>
  <w:footnote w:type="continuationSeparator" w:id="0">
    <w:p w:rsidR="00E05C99" w:rsidRDefault="00E0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90" w:rsidRDefault="005F0A9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D950FC">
    <w:pPr>
      <w:pStyle w:val="Glava"/>
      <w:tabs>
        <w:tab w:val="clear" w:pos="9072"/>
        <w:tab w:val="right" w:pos="9356"/>
      </w:tabs>
      <w:jc w:val="center"/>
    </w:pPr>
    <w:r>
      <w:rPr>
        <w:lang w:val="en-GB"/>
      </w:rPr>
      <w:tab/>
    </w:r>
    <w:r>
      <w:rPr>
        <w:lang w:val="en-GB"/>
      </w:rPr>
      <w:tab/>
    </w:r>
  </w:p>
  <w:p w:rsidR="00037FA1" w:rsidRDefault="00037FA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90" w:rsidRPr="005F0A90" w:rsidRDefault="005F0A90" w:rsidP="005F0A90">
    <w:pPr>
      <w:tabs>
        <w:tab w:val="center" w:pos="4536"/>
        <w:tab w:val="right" w:pos="9072"/>
      </w:tabs>
      <w:jc w:val="center"/>
      <w:rPr>
        <w:rFonts w:eastAsiaTheme="minorHAnsi"/>
        <w:szCs w:val="22"/>
        <w:lang w:eastAsia="en-US"/>
      </w:rPr>
    </w:pPr>
    <w:r w:rsidRPr="005F0A90">
      <w:rPr>
        <w:rFonts w:eastAsiaTheme="minorHAnsi"/>
        <w:b/>
        <w:bCs/>
        <w:color w:val="000000"/>
        <w:szCs w:val="22"/>
        <w:lang w:eastAsia="en-US"/>
      </w:rPr>
      <w:t>THIS TEXT IS UNOFFICIAL TRANSLATION AND MAY NOT BE USED AS A BASIS FOR SOLVING ANY DISPUTE</w:t>
    </w:r>
  </w:p>
  <w:p w:rsidR="005F0A90" w:rsidRPr="005F0A90" w:rsidRDefault="005F0A90" w:rsidP="005F0A90">
    <w:pPr>
      <w:tabs>
        <w:tab w:val="center" w:pos="4536"/>
        <w:tab w:val="right" w:pos="9072"/>
      </w:tabs>
      <w:jc w:val="left"/>
      <w:rPr>
        <w:rFonts w:eastAsiaTheme="minorHAnsi"/>
        <w:szCs w:val="22"/>
        <w:lang w:eastAsia="en-US"/>
      </w:rPr>
    </w:pPr>
  </w:p>
  <w:p w:rsidR="00B66017" w:rsidRDefault="00B66017" w:rsidP="00B66017">
    <w:pPr>
      <w:pStyle w:val="Glava"/>
      <w:tabs>
        <w:tab w:val="clear" w:pos="9072"/>
        <w:tab w:val="left" w:pos="4020"/>
        <w:tab w:val="right" w:pos="9356"/>
      </w:tabs>
      <w:jc w:val="center"/>
    </w:pPr>
  </w:p>
  <w:p w:rsidR="00037FA1" w:rsidRDefault="00037FA1" w:rsidP="00B66017">
    <w:pPr>
      <w:pStyle w:val="Glava"/>
      <w:tabs>
        <w:tab w:val="clear" w:pos="9072"/>
        <w:tab w:val="left" w:pos="4020"/>
        <w:tab w:val="right" w:pos="9356"/>
      </w:tabs>
      <w:jc w:val="cente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9A"/>
    <w:multiLevelType w:val="hybridMultilevel"/>
    <w:tmpl w:val="F4C4A260"/>
    <w:lvl w:ilvl="0" w:tplc="E9AAD3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22B6"/>
    <w:multiLevelType w:val="hybridMultilevel"/>
    <w:tmpl w:val="CDD61204"/>
    <w:lvl w:ilvl="0" w:tplc="0AB2B6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A23BAE"/>
    <w:multiLevelType w:val="hybridMultilevel"/>
    <w:tmpl w:val="A06CD006"/>
    <w:lvl w:ilvl="0" w:tplc="08C4C89E">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30758EB"/>
    <w:multiLevelType w:val="hybridMultilevel"/>
    <w:tmpl w:val="FDC04FE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0929AC"/>
    <w:multiLevelType w:val="hybridMultilevel"/>
    <w:tmpl w:val="E00A6D0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620181"/>
    <w:multiLevelType w:val="hybridMultilevel"/>
    <w:tmpl w:val="D28846E2"/>
    <w:lvl w:ilvl="0" w:tplc="E9AAD34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1F165A"/>
    <w:multiLevelType w:val="hybridMultilevel"/>
    <w:tmpl w:val="6BB6C21A"/>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6396471"/>
    <w:multiLevelType w:val="hybridMultilevel"/>
    <w:tmpl w:val="40A0B820"/>
    <w:lvl w:ilvl="0" w:tplc="7694730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7324389"/>
    <w:multiLevelType w:val="hybridMultilevel"/>
    <w:tmpl w:val="7C46F84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90F2721"/>
    <w:multiLevelType w:val="hybridMultilevel"/>
    <w:tmpl w:val="445E2360"/>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9F42AC"/>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A924773"/>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BA60BDE"/>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D2C01DA"/>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15680B"/>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11289E"/>
    <w:multiLevelType w:val="hybridMultilevel"/>
    <w:tmpl w:val="FB7A2ABC"/>
    <w:lvl w:ilvl="0" w:tplc="76D64A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FB715E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09142D"/>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2446F84"/>
    <w:multiLevelType w:val="hybridMultilevel"/>
    <w:tmpl w:val="B0842360"/>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3236B15"/>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5554E5"/>
    <w:multiLevelType w:val="hybridMultilevel"/>
    <w:tmpl w:val="5E545874"/>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3A2577F"/>
    <w:multiLevelType w:val="hybridMultilevel"/>
    <w:tmpl w:val="47F050AA"/>
    <w:lvl w:ilvl="0" w:tplc="BFE43F2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6D3F22"/>
    <w:multiLevelType w:val="hybridMultilevel"/>
    <w:tmpl w:val="ADCE5972"/>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4DA173D"/>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68C3416"/>
    <w:multiLevelType w:val="hybridMultilevel"/>
    <w:tmpl w:val="FE88762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7F41F85"/>
    <w:multiLevelType w:val="hybridMultilevel"/>
    <w:tmpl w:val="C26C5250"/>
    <w:lvl w:ilvl="0" w:tplc="2EBE80C6">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8534BEC"/>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8C6079D"/>
    <w:multiLevelType w:val="hybridMultilevel"/>
    <w:tmpl w:val="103AF9C0"/>
    <w:lvl w:ilvl="0" w:tplc="B406E10C">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9" w15:restartNumberingAfterBreak="0">
    <w:nsid w:val="18E071FC"/>
    <w:multiLevelType w:val="hybridMultilevel"/>
    <w:tmpl w:val="21C4CC4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99107F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1A0867C7"/>
    <w:multiLevelType w:val="hybridMultilevel"/>
    <w:tmpl w:val="F29AB722"/>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33" w15:restartNumberingAfterBreak="0">
    <w:nsid w:val="1A86430A"/>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1B315EA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554450"/>
    <w:multiLevelType w:val="hybridMultilevel"/>
    <w:tmpl w:val="E34A0FB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D4B0865"/>
    <w:multiLevelType w:val="hybridMultilevel"/>
    <w:tmpl w:val="833627A0"/>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DE9303C"/>
    <w:multiLevelType w:val="hybridMultilevel"/>
    <w:tmpl w:val="F05C7F4E"/>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DF463D4"/>
    <w:multiLevelType w:val="hybridMultilevel"/>
    <w:tmpl w:val="2836FE76"/>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E4D2936"/>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ECA523E"/>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1F4261E7"/>
    <w:multiLevelType w:val="hybridMultilevel"/>
    <w:tmpl w:val="27FEBBF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1F7218EB"/>
    <w:multiLevelType w:val="hybridMultilevel"/>
    <w:tmpl w:val="88268E6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225143A3"/>
    <w:multiLevelType w:val="hybridMultilevel"/>
    <w:tmpl w:val="1C5C6D1A"/>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470A9F"/>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5C53B04"/>
    <w:multiLevelType w:val="hybridMultilevel"/>
    <w:tmpl w:val="4308FFB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sz w:val="22"/>
        <w:szCs w:val="22"/>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8475AED"/>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8D53209"/>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2C5D3579"/>
    <w:multiLevelType w:val="hybridMultilevel"/>
    <w:tmpl w:val="46022D74"/>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CAA1EC9"/>
    <w:multiLevelType w:val="hybridMultilevel"/>
    <w:tmpl w:val="F976E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DE6088F"/>
    <w:multiLevelType w:val="hybridMultilevel"/>
    <w:tmpl w:val="FDC4EA8A"/>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53" w15:restartNumberingAfterBreak="0">
    <w:nsid w:val="2E720C8F"/>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223307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27501E5"/>
    <w:multiLevelType w:val="hybridMultilevel"/>
    <w:tmpl w:val="C57CE0CE"/>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2A9369E"/>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2BD3B5E"/>
    <w:multiLevelType w:val="hybridMultilevel"/>
    <w:tmpl w:val="9F3A012A"/>
    <w:lvl w:ilvl="0" w:tplc="06A8B19A">
      <w:start w:val="1"/>
      <w:numFmt w:val="decimal"/>
      <w:lvlText w:val="(%1)"/>
      <w:lvlJc w:val="left"/>
      <w:pPr>
        <w:ind w:left="720" w:hanging="360"/>
      </w:pPr>
      <w:rPr>
        <w:rFonts w:hint="default"/>
        <w:b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3712FC4"/>
    <w:multiLevelType w:val="hybridMultilevel"/>
    <w:tmpl w:val="5A641D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55823CB"/>
    <w:multiLevelType w:val="hybridMultilevel"/>
    <w:tmpl w:val="6E44AC9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65462DF"/>
    <w:multiLevelType w:val="hybridMultilevel"/>
    <w:tmpl w:val="B3BE043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36730FE3"/>
    <w:multiLevelType w:val="hybridMultilevel"/>
    <w:tmpl w:val="E1B8028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3686612E"/>
    <w:multiLevelType w:val="hybridMultilevel"/>
    <w:tmpl w:val="1DC6827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3695243E"/>
    <w:multiLevelType w:val="hybridMultilevel"/>
    <w:tmpl w:val="DF86B98C"/>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6AA6327"/>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36C14C1A"/>
    <w:multiLevelType w:val="hybridMultilevel"/>
    <w:tmpl w:val="75A0133C"/>
    <w:lvl w:ilvl="0" w:tplc="93D256C6">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78A7501"/>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39CC0222"/>
    <w:multiLevelType w:val="hybridMultilevel"/>
    <w:tmpl w:val="0CCEBB1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9CF7E29"/>
    <w:multiLevelType w:val="hybridMultilevel"/>
    <w:tmpl w:val="97F4047A"/>
    <w:lvl w:ilvl="0" w:tplc="2EBE80C6">
      <w:start w:val="1"/>
      <w:numFmt w:val="decimal"/>
      <w:lvlText w:val="(%1)"/>
      <w:lvlJc w:val="left"/>
      <w:pPr>
        <w:ind w:left="-1080" w:hanging="360"/>
      </w:pPr>
      <w:rPr>
        <w:rFonts w:hint="default"/>
      </w:rPr>
    </w:lvl>
    <w:lvl w:ilvl="1" w:tplc="04240019">
      <w:start w:val="1"/>
      <w:numFmt w:val="lowerLetter"/>
      <w:lvlText w:val="%2."/>
      <w:lvlJc w:val="left"/>
      <w:pPr>
        <w:ind w:left="-360" w:hanging="360"/>
      </w:pPr>
    </w:lvl>
    <w:lvl w:ilvl="2" w:tplc="0424001B">
      <w:start w:val="1"/>
      <w:numFmt w:val="lowerRoman"/>
      <w:lvlText w:val="%3."/>
      <w:lvlJc w:val="right"/>
      <w:pPr>
        <w:ind w:left="360" w:hanging="180"/>
      </w:pPr>
    </w:lvl>
    <w:lvl w:ilvl="3" w:tplc="0424000F">
      <w:start w:val="1"/>
      <w:numFmt w:val="decimal"/>
      <w:lvlText w:val="%4."/>
      <w:lvlJc w:val="left"/>
      <w:pPr>
        <w:ind w:left="1080" w:hanging="360"/>
      </w:pPr>
    </w:lvl>
    <w:lvl w:ilvl="4" w:tplc="04240019">
      <w:start w:val="1"/>
      <w:numFmt w:val="lowerLetter"/>
      <w:lvlText w:val="%5."/>
      <w:lvlJc w:val="left"/>
      <w:pPr>
        <w:ind w:left="1800" w:hanging="360"/>
      </w:pPr>
    </w:lvl>
    <w:lvl w:ilvl="5" w:tplc="0424001B">
      <w:start w:val="1"/>
      <w:numFmt w:val="lowerRoman"/>
      <w:lvlText w:val="%6."/>
      <w:lvlJc w:val="right"/>
      <w:pPr>
        <w:ind w:left="2520" w:hanging="180"/>
      </w:pPr>
    </w:lvl>
    <w:lvl w:ilvl="6" w:tplc="0424000F">
      <w:start w:val="1"/>
      <w:numFmt w:val="decimal"/>
      <w:lvlText w:val="%7."/>
      <w:lvlJc w:val="left"/>
      <w:pPr>
        <w:ind w:left="3240" w:hanging="360"/>
      </w:pPr>
    </w:lvl>
    <w:lvl w:ilvl="7" w:tplc="04240019">
      <w:start w:val="1"/>
      <w:numFmt w:val="lowerLetter"/>
      <w:lvlText w:val="%8."/>
      <w:lvlJc w:val="left"/>
      <w:pPr>
        <w:ind w:left="3960" w:hanging="360"/>
      </w:pPr>
    </w:lvl>
    <w:lvl w:ilvl="8" w:tplc="0424001B" w:tentative="1">
      <w:start w:val="1"/>
      <w:numFmt w:val="lowerRoman"/>
      <w:lvlText w:val="%9."/>
      <w:lvlJc w:val="right"/>
      <w:pPr>
        <w:ind w:left="4680" w:hanging="180"/>
      </w:pPr>
    </w:lvl>
  </w:abstractNum>
  <w:abstractNum w:abstractNumId="70"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1" w15:restartNumberingAfterBreak="0">
    <w:nsid w:val="3BCC4C06"/>
    <w:multiLevelType w:val="hybridMultilevel"/>
    <w:tmpl w:val="9F40043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3DC56504"/>
    <w:multiLevelType w:val="hybridMultilevel"/>
    <w:tmpl w:val="1DFA6EB6"/>
    <w:lvl w:ilvl="0" w:tplc="101C5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3EC0110D"/>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403B4A93"/>
    <w:multiLevelType w:val="hybridMultilevel"/>
    <w:tmpl w:val="C4C084E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41854EB1"/>
    <w:multiLevelType w:val="hybridMultilevel"/>
    <w:tmpl w:val="F410A638"/>
    <w:lvl w:ilvl="0" w:tplc="80EA153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8" w15:restartNumberingAfterBreak="0">
    <w:nsid w:val="41D84E90"/>
    <w:multiLevelType w:val="hybridMultilevel"/>
    <w:tmpl w:val="4C20E3AC"/>
    <w:lvl w:ilvl="0" w:tplc="FC2CA9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429171A2"/>
    <w:multiLevelType w:val="hybridMultilevel"/>
    <w:tmpl w:val="58C8590E"/>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42BB3581"/>
    <w:multiLevelType w:val="hybridMultilevel"/>
    <w:tmpl w:val="6B58931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43611A13"/>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3E32E51"/>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43B46EA"/>
    <w:multiLevelType w:val="multilevel"/>
    <w:tmpl w:val="0834074C"/>
    <w:lvl w:ilvl="0">
      <w:start w:val="4"/>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55E5A72"/>
    <w:multiLevelType w:val="hybridMultilevel"/>
    <w:tmpl w:val="6868C75E"/>
    <w:lvl w:ilvl="0" w:tplc="47C6D320">
      <w:start w:val="9"/>
      <w:numFmt w:val="bullet"/>
      <w:lvlText w:val="-"/>
      <w:lvlJc w:val="left"/>
      <w:pPr>
        <w:ind w:left="1776" w:hanging="360"/>
      </w:pPr>
      <w:rPr>
        <w:rFonts w:ascii="Times New Roman" w:eastAsiaTheme="minorHAnsi"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5" w15:restartNumberingAfterBreak="0">
    <w:nsid w:val="479C742D"/>
    <w:multiLevelType w:val="hybridMultilevel"/>
    <w:tmpl w:val="8BD27C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48105E2D"/>
    <w:multiLevelType w:val="hybridMultilevel"/>
    <w:tmpl w:val="69A44AC2"/>
    <w:lvl w:ilvl="0" w:tplc="FC421622">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AF277AF"/>
    <w:multiLevelType w:val="hybridMultilevel"/>
    <w:tmpl w:val="272AE878"/>
    <w:lvl w:ilvl="0" w:tplc="7694730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4BE72D44"/>
    <w:multiLevelType w:val="hybridMultilevel"/>
    <w:tmpl w:val="717074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4D9509A0"/>
    <w:multiLevelType w:val="hybridMultilevel"/>
    <w:tmpl w:val="E856EEF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4E125AC1"/>
    <w:multiLevelType w:val="hybridMultilevel"/>
    <w:tmpl w:val="ED265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F972D03"/>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0E241B7"/>
    <w:multiLevelType w:val="hybridMultilevel"/>
    <w:tmpl w:val="BCFEDC9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1364BD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52B666F8"/>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52B77013"/>
    <w:multiLevelType w:val="hybridMultilevel"/>
    <w:tmpl w:val="CA8AB8AC"/>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4187712"/>
    <w:multiLevelType w:val="hybridMultilevel"/>
    <w:tmpl w:val="8342DAB0"/>
    <w:lvl w:ilvl="0" w:tplc="04240017">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7" w15:restartNumberingAfterBreak="0">
    <w:nsid w:val="54396491"/>
    <w:multiLevelType w:val="hybridMultilevel"/>
    <w:tmpl w:val="B552A4C0"/>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55822B2F"/>
    <w:multiLevelType w:val="hybridMultilevel"/>
    <w:tmpl w:val="AE0A6AC8"/>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68B6753"/>
    <w:multiLevelType w:val="hybridMultilevel"/>
    <w:tmpl w:val="53BE33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1" w15:restartNumberingAfterBreak="0">
    <w:nsid w:val="56BC3D63"/>
    <w:multiLevelType w:val="hybridMultilevel"/>
    <w:tmpl w:val="6DBE7C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2" w15:restartNumberingAfterBreak="0">
    <w:nsid w:val="56DE4771"/>
    <w:multiLevelType w:val="hybridMultilevel"/>
    <w:tmpl w:val="F2822B32"/>
    <w:lvl w:ilvl="0" w:tplc="20304E6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7BB7BBF"/>
    <w:multiLevelType w:val="multilevel"/>
    <w:tmpl w:val="D2BC0C1A"/>
    <w:lvl w:ilvl="0">
      <w:start w:val="2"/>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84815D5"/>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903062F"/>
    <w:multiLevelType w:val="hybridMultilevel"/>
    <w:tmpl w:val="DCF8A440"/>
    <w:lvl w:ilvl="0" w:tplc="769473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96E0F34"/>
    <w:multiLevelType w:val="hybridMultilevel"/>
    <w:tmpl w:val="F76CA158"/>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5978070C"/>
    <w:multiLevelType w:val="hybridMultilevel"/>
    <w:tmpl w:val="07907D38"/>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59B658C0"/>
    <w:multiLevelType w:val="hybridMultilevel"/>
    <w:tmpl w:val="B5725860"/>
    <w:lvl w:ilvl="0" w:tplc="6FE65D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9" w15:restartNumberingAfterBreak="0">
    <w:nsid w:val="59B65BBD"/>
    <w:multiLevelType w:val="hybridMultilevel"/>
    <w:tmpl w:val="43103C6E"/>
    <w:lvl w:ilvl="0" w:tplc="06A8B19A">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0" w15:restartNumberingAfterBreak="0">
    <w:nsid w:val="59F00920"/>
    <w:multiLevelType w:val="hybridMultilevel"/>
    <w:tmpl w:val="6742D174"/>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15:restartNumberingAfterBreak="0">
    <w:nsid w:val="5A2D4721"/>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AC575DD"/>
    <w:multiLevelType w:val="hybridMultilevel"/>
    <w:tmpl w:val="BD144DDA"/>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3" w15:restartNumberingAfterBreak="0">
    <w:nsid w:val="5ACF79CF"/>
    <w:multiLevelType w:val="hybridMultilevel"/>
    <w:tmpl w:val="A274DC7A"/>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167" w:hanging="360"/>
      </w:pPr>
      <w:rPr>
        <w:rFonts w:ascii="Courier New" w:hAnsi="Courier New" w:cs="Courier New" w:hint="default"/>
      </w:rPr>
    </w:lvl>
    <w:lvl w:ilvl="2" w:tplc="04240005" w:tentative="1">
      <w:start w:val="1"/>
      <w:numFmt w:val="bullet"/>
      <w:lvlText w:val=""/>
      <w:lvlJc w:val="left"/>
      <w:pPr>
        <w:ind w:left="1887" w:hanging="360"/>
      </w:pPr>
      <w:rPr>
        <w:rFonts w:ascii="Wingdings" w:hAnsi="Wingdings" w:hint="default"/>
      </w:rPr>
    </w:lvl>
    <w:lvl w:ilvl="3" w:tplc="04240001" w:tentative="1">
      <w:start w:val="1"/>
      <w:numFmt w:val="bullet"/>
      <w:lvlText w:val=""/>
      <w:lvlJc w:val="left"/>
      <w:pPr>
        <w:ind w:left="2607" w:hanging="360"/>
      </w:pPr>
      <w:rPr>
        <w:rFonts w:ascii="Symbol" w:hAnsi="Symbol" w:hint="default"/>
      </w:rPr>
    </w:lvl>
    <w:lvl w:ilvl="4" w:tplc="04240003" w:tentative="1">
      <w:start w:val="1"/>
      <w:numFmt w:val="bullet"/>
      <w:lvlText w:val="o"/>
      <w:lvlJc w:val="left"/>
      <w:pPr>
        <w:ind w:left="3327" w:hanging="360"/>
      </w:pPr>
      <w:rPr>
        <w:rFonts w:ascii="Courier New" w:hAnsi="Courier New" w:cs="Courier New" w:hint="default"/>
      </w:rPr>
    </w:lvl>
    <w:lvl w:ilvl="5" w:tplc="04240005" w:tentative="1">
      <w:start w:val="1"/>
      <w:numFmt w:val="bullet"/>
      <w:lvlText w:val=""/>
      <w:lvlJc w:val="left"/>
      <w:pPr>
        <w:ind w:left="4047" w:hanging="360"/>
      </w:pPr>
      <w:rPr>
        <w:rFonts w:ascii="Wingdings" w:hAnsi="Wingdings" w:hint="default"/>
      </w:rPr>
    </w:lvl>
    <w:lvl w:ilvl="6" w:tplc="04240001" w:tentative="1">
      <w:start w:val="1"/>
      <w:numFmt w:val="bullet"/>
      <w:lvlText w:val=""/>
      <w:lvlJc w:val="left"/>
      <w:pPr>
        <w:ind w:left="4767" w:hanging="360"/>
      </w:pPr>
      <w:rPr>
        <w:rFonts w:ascii="Symbol" w:hAnsi="Symbol" w:hint="default"/>
      </w:rPr>
    </w:lvl>
    <w:lvl w:ilvl="7" w:tplc="04240003" w:tentative="1">
      <w:start w:val="1"/>
      <w:numFmt w:val="bullet"/>
      <w:lvlText w:val="o"/>
      <w:lvlJc w:val="left"/>
      <w:pPr>
        <w:ind w:left="5487" w:hanging="360"/>
      </w:pPr>
      <w:rPr>
        <w:rFonts w:ascii="Courier New" w:hAnsi="Courier New" w:cs="Courier New" w:hint="default"/>
      </w:rPr>
    </w:lvl>
    <w:lvl w:ilvl="8" w:tplc="04240005" w:tentative="1">
      <w:start w:val="1"/>
      <w:numFmt w:val="bullet"/>
      <w:lvlText w:val=""/>
      <w:lvlJc w:val="left"/>
      <w:pPr>
        <w:ind w:left="6207" w:hanging="360"/>
      </w:pPr>
      <w:rPr>
        <w:rFonts w:ascii="Wingdings" w:hAnsi="Wingdings" w:hint="default"/>
      </w:rPr>
    </w:lvl>
  </w:abstractNum>
  <w:abstractNum w:abstractNumId="114" w15:restartNumberingAfterBreak="0">
    <w:nsid w:val="5BD11A44"/>
    <w:multiLevelType w:val="hybridMultilevel"/>
    <w:tmpl w:val="C03A1FF0"/>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BFB7A5E"/>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5E7E502A"/>
    <w:multiLevelType w:val="multilevel"/>
    <w:tmpl w:val="BF16608A"/>
    <w:lvl w:ilvl="0">
      <w:start w:val="1"/>
      <w:numFmt w:val="upperRoman"/>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794" w:hanging="794"/>
      </w:pPr>
      <w:rPr>
        <w:rFonts w:hint="default"/>
      </w:rPr>
    </w:lvl>
    <w:lvl w:ilvl="2">
      <w:start w:val="1"/>
      <w:numFmt w:val="decimal"/>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7" w15:restartNumberingAfterBreak="0">
    <w:nsid w:val="5EAA743A"/>
    <w:multiLevelType w:val="hybridMultilevel"/>
    <w:tmpl w:val="3D427246"/>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8" w15:restartNumberingAfterBreak="0">
    <w:nsid w:val="5EE379A6"/>
    <w:multiLevelType w:val="hybridMultilevel"/>
    <w:tmpl w:val="3FEE16FA"/>
    <w:lvl w:ilvl="0" w:tplc="76947304">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5F3B2B3F"/>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09B7454"/>
    <w:multiLevelType w:val="hybridMultilevel"/>
    <w:tmpl w:val="C5C22BF4"/>
    <w:lvl w:ilvl="0" w:tplc="D270BE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60B71B18"/>
    <w:multiLevelType w:val="hybridMultilevel"/>
    <w:tmpl w:val="49163D30"/>
    <w:lvl w:ilvl="0" w:tplc="5D98E3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15:restartNumberingAfterBreak="0">
    <w:nsid w:val="60BD7B0D"/>
    <w:multiLevelType w:val="hybridMultilevel"/>
    <w:tmpl w:val="91DC1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61CE78E6"/>
    <w:multiLevelType w:val="hybridMultilevel"/>
    <w:tmpl w:val="C96230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2D5527B"/>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15:restartNumberingAfterBreak="0">
    <w:nsid w:val="63A75BFC"/>
    <w:multiLevelType w:val="hybridMultilevel"/>
    <w:tmpl w:val="8B42D478"/>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6" w15:restartNumberingAfterBreak="0">
    <w:nsid w:val="63C37061"/>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54E3A14"/>
    <w:multiLevelType w:val="hybridMultilevel"/>
    <w:tmpl w:val="E824643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8" w15:restartNumberingAfterBreak="0">
    <w:nsid w:val="657E5BA0"/>
    <w:multiLevelType w:val="hybridMultilevel"/>
    <w:tmpl w:val="B3DC7A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5CC16CA"/>
    <w:multiLevelType w:val="hybridMultilevel"/>
    <w:tmpl w:val="FE2C751A"/>
    <w:lvl w:ilvl="0" w:tplc="468E1EA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5E841C5"/>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65F1150E"/>
    <w:multiLevelType w:val="hybridMultilevel"/>
    <w:tmpl w:val="F8F0B8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2" w15:restartNumberingAfterBreak="0">
    <w:nsid w:val="667A1E09"/>
    <w:multiLevelType w:val="hybridMultilevel"/>
    <w:tmpl w:val="D59A2518"/>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670D2999"/>
    <w:multiLevelType w:val="hybridMultilevel"/>
    <w:tmpl w:val="034820A2"/>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4" w15:restartNumberingAfterBreak="0">
    <w:nsid w:val="673B00AC"/>
    <w:multiLevelType w:val="hybridMultilevel"/>
    <w:tmpl w:val="FE7A1B8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5" w15:restartNumberingAfterBreak="0">
    <w:nsid w:val="67D2389E"/>
    <w:multiLevelType w:val="hybridMultilevel"/>
    <w:tmpl w:val="6A92FC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6" w15:restartNumberingAfterBreak="0">
    <w:nsid w:val="6811285D"/>
    <w:multiLevelType w:val="hybridMultilevel"/>
    <w:tmpl w:val="4D44A024"/>
    <w:lvl w:ilvl="0" w:tplc="136C5FCA">
      <w:numFmt w:val="bullet"/>
      <w:lvlText w:val="-"/>
      <w:lvlJc w:val="left"/>
      <w:pPr>
        <w:ind w:left="1500" w:hanging="360"/>
      </w:pPr>
      <w:rPr>
        <w:rFonts w:ascii="Arial" w:eastAsiaTheme="minorHAnsi"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7" w15:restartNumberingAfterBreak="0">
    <w:nsid w:val="681A0A19"/>
    <w:multiLevelType w:val="hybridMultilevel"/>
    <w:tmpl w:val="0F50CAE8"/>
    <w:lvl w:ilvl="0" w:tplc="1EC2403C">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68CD4B80"/>
    <w:multiLevelType w:val="singleLevel"/>
    <w:tmpl w:val="C77C732E"/>
    <w:lvl w:ilvl="0">
      <w:start w:val="1"/>
      <w:numFmt w:val="decimal"/>
      <w:lvlText w:val="%1."/>
      <w:lvlJc w:val="left"/>
      <w:pPr>
        <w:tabs>
          <w:tab w:val="num" w:pos="840"/>
        </w:tabs>
        <w:ind w:left="840" w:hanging="480"/>
      </w:pPr>
      <w:rPr>
        <w:rFonts w:hint="default"/>
      </w:rPr>
    </w:lvl>
  </w:abstractNum>
  <w:abstractNum w:abstractNumId="139" w15:restartNumberingAfterBreak="0">
    <w:nsid w:val="690365D5"/>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69177397"/>
    <w:multiLevelType w:val="hybridMultilevel"/>
    <w:tmpl w:val="B98494A0"/>
    <w:lvl w:ilvl="0" w:tplc="A49EB420">
      <w:start w:val="2"/>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693D15E9"/>
    <w:multiLevelType w:val="hybridMultilevel"/>
    <w:tmpl w:val="8CFE6318"/>
    <w:lvl w:ilvl="0" w:tplc="2F10FC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2" w15:restartNumberingAfterBreak="0">
    <w:nsid w:val="698F70D4"/>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3" w15:restartNumberingAfterBreak="0">
    <w:nsid w:val="6A6457C4"/>
    <w:multiLevelType w:val="hybridMultilevel"/>
    <w:tmpl w:val="6C6C09EE"/>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B027A65"/>
    <w:multiLevelType w:val="hybridMultilevel"/>
    <w:tmpl w:val="9C760402"/>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5" w15:restartNumberingAfterBreak="0">
    <w:nsid w:val="6B0F7423"/>
    <w:multiLevelType w:val="hybridMultilevel"/>
    <w:tmpl w:val="6A6ADA26"/>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6" w15:restartNumberingAfterBreak="0">
    <w:nsid w:val="6B1378B3"/>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6B5732F5"/>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8" w15:restartNumberingAfterBreak="0">
    <w:nsid w:val="6C7F1948"/>
    <w:multiLevelType w:val="hybridMultilevel"/>
    <w:tmpl w:val="46023E98"/>
    <w:lvl w:ilvl="0" w:tplc="6C768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6CA423E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6E6272B4"/>
    <w:multiLevelType w:val="hybridMultilevel"/>
    <w:tmpl w:val="850489DC"/>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1" w15:restartNumberingAfterBreak="0">
    <w:nsid w:val="6EF61AAD"/>
    <w:multiLevelType w:val="hybridMultilevel"/>
    <w:tmpl w:val="46164ED6"/>
    <w:lvl w:ilvl="0" w:tplc="D5CEE050">
      <w:start w:val="25"/>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6F210816"/>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0221F3F"/>
    <w:multiLevelType w:val="hybridMultilevel"/>
    <w:tmpl w:val="D8B64DB6"/>
    <w:lvl w:ilvl="0" w:tplc="FEAA49E2">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15:restartNumberingAfterBreak="0">
    <w:nsid w:val="710F1FCD"/>
    <w:multiLevelType w:val="hybridMultilevel"/>
    <w:tmpl w:val="94F26CDA"/>
    <w:lvl w:ilvl="0" w:tplc="070A6764">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71C13A3B"/>
    <w:multiLevelType w:val="hybridMultilevel"/>
    <w:tmpl w:val="73FAADF0"/>
    <w:lvl w:ilvl="0" w:tplc="ADE01E18">
      <w:start w:val="1"/>
      <w:numFmt w:val="bullet"/>
      <w:lvlText w:val=""/>
      <w:lvlJc w:val="left"/>
      <w:pPr>
        <w:ind w:left="1069"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6" w15:restartNumberingAfterBreak="0">
    <w:nsid w:val="71CC7515"/>
    <w:multiLevelType w:val="hybridMultilevel"/>
    <w:tmpl w:val="0AA84AA6"/>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72370486"/>
    <w:multiLevelType w:val="hybridMultilevel"/>
    <w:tmpl w:val="4B80F8C0"/>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8" w15:restartNumberingAfterBreak="0">
    <w:nsid w:val="72E45602"/>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9" w15:restartNumberingAfterBreak="0">
    <w:nsid w:val="72FC031E"/>
    <w:multiLevelType w:val="hybridMultilevel"/>
    <w:tmpl w:val="6E9A6B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7364165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3985018"/>
    <w:multiLevelType w:val="hybridMultilevel"/>
    <w:tmpl w:val="E1D2F4A8"/>
    <w:lvl w:ilvl="0" w:tplc="4D00596C">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73DE62DF"/>
    <w:multiLevelType w:val="hybridMultilevel"/>
    <w:tmpl w:val="9ED61766"/>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750A4CAF"/>
    <w:multiLevelType w:val="hybridMultilevel"/>
    <w:tmpl w:val="3A9499CC"/>
    <w:lvl w:ilvl="0" w:tplc="46CC65D4">
      <w:start w:val="1"/>
      <w:numFmt w:val="lowerLetter"/>
      <w:lvlText w:val="(%1)"/>
      <w:lvlJc w:val="left"/>
      <w:pPr>
        <w:ind w:left="7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75A81021"/>
    <w:multiLevelType w:val="hybridMultilevel"/>
    <w:tmpl w:val="3426ECAE"/>
    <w:lvl w:ilvl="0" w:tplc="136C5F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6" w15:restartNumberingAfterBreak="0">
    <w:nsid w:val="78355845"/>
    <w:multiLevelType w:val="hybridMultilevel"/>
    <w:tmpl w:val="47700B72"/>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7" w15:restartNumberingAfterBreak="0">
    <w:nsid w:val="78EB232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96D0ECA"/>
    <w:multiLevelType w:val="hybridMultilevel"/>
    <w:tmpl w:val="2E92DCA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7BFE19B6"/>
    <w:multiLevelType w:val="hybridMultilevel"/>
    <w:tmpl w:val="39C8153C"/>
    <w:lvl w:ilvl="0" w:tplc="47C6D320">
      <w:start w:val="9"/>
      <w:numFmt w:val="bullet"/>
      <w:lvlText w:val="-"/>
      <w:lvlJc w:val="left"/>
      <w:pPr>
        <w:ind w:left="1500" w:hanging="360"/>
      </w:pPr>
      <w:rPr>
        <w:rFonts w:ascii="Times New Roman" w:eastAsiaTheme="minorHAnsi"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70"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1" w15:restartNumberingAfterBreak="0">
    <w:nsid w:val="7D1618AA"/>
    <w:multiLevelType w:val="hybridMultilevel"/>
    <w:tmpl w:val="D8F85B4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7FDD19DC"/>
    <w:multiLevelType w:val="hybridMultilevel"/>
    <w:tmpl w:val="C4BA9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7"/>
  </w:num>
  <w:num w:numId="2">
    <w:abstractNumId w:val="43"/>
  </w:num>
  <w:num w:numId="3">
    <w:abstractNumId w:val="142"/>
  </w:num>
  <w:num w:numId="4">
    <w:abstractNumId w:val="116"/>
  </w:num>
  <w:num w:numId="5">
    <w:abstractNumId w:val="75"/>
  </w:num>
  <w:num w:numId="6">
    <w:abstractNumId w:val="151"/>
  </w:num>
  <w:num w:numId="7">
    <w:abstractNumId w:val="102"/>
  </w:num>
  <w:num w:numId="8">
    <w:abstractNumId w:val="99"/>
  </w:num>
  <w:num w:numId="9">
    <w:abstractNumId w:val="166"/>
  </w:num>
  <w:num w:numId="10">
    <w:abstractNumId w:val="73"/>
  </w:num>
  <w:num w:numId="11">
    <w:abstractNumId w:val="163"/>
  </w:num>
  <w:num w:numId="12">
    <w:abstractNumId w:val="137"/>
  </w:num>
  <w:num w:numId="13">
    <w:abstractNumId w:val="141"/>
  </w:num>
  <w:num w:numId="14">
    <w:abstractNumId w:val="16"/>
  </w:num>
  <w:num w:numId="15">
    <w:abstractNumId w:val="120"/>
  </w:num>
  <w:num w:numId="16">
    <w:abstractNumId w:val="59"/>
  </w:num>
  <w:num w:numId="17">
    <w:abstractNumId w:val="138"/>
  </w:num>
  <w:num w:numId="18">
    <w:abstractNumId w:val="58"/>
  </w:num>
  <w:num w:numId="19">
    <w:abstractNumId w:val="41"/>
  </w:num>
  <w:num w:numId="20">
    <w:abstractNumId w:val="4"/>
  </w:num>
  <w:num w:numId="21">
    <w:abstractNumId w:val="144"/>
  </w:num>
  <w:num w:numId="22">
    <w:abstractNumId w:val="72"/>
  </w:num>
  <w:num w:numId="23">
    <w:abstractNumId w:val="32"/>
  </w:num>
  <w:num w:numId="24">
    <w:abstractNumId w:val="66"/>
  </w:num>
  <w:num w:numId="25">
    <w:abstractNumId w:val="52"/>
  </w:num>
  <w:num w:numId="26">
    <w:abstractNumId w:val="150"/>
  </w:num>
  <w:num w:numId="27">
    <w:abstractNumId w:val="92"/>
  </w:num>
  <w:num w:numId="28">
    <w:abstractNumId w:val="9"/>
  </w:num>
  <w:num w:numId="29">
    <w:abstractNumId w:val="47"/>
  </w:num>
  <w:num w:numId="30">
    <w:abstractNumId w:val="170"/>
  </w:num>
  <w:num w:numId="31">
    <w:abstractNumId w:val="157"/>
  </w:num>
  <w:num w:numId="32">
    <w:abstractNumId w:val="8"/>
  </w:num>
  <w:num w:numId="33">
    <w:abstractNumId w:val="156"/>
  </w:num>
  <w:num w:numId="34">
    <w:abstractNumId w:val="86"/>
  </w:num>
  <w:num w:numId="35">
    <w:abstractNumId w:val="154"/>
  </w:num>
  <w:num w:numId="36">
    <w:abstractNumId w:val="85"/>
  </w:num>
  <w:num w:numId="37">
    <w:abstractNumId w:val="29"/>
  </w:num>
  <w:num w:numId="38">
    <w:abstractNumId w:val="25"/>
  </w:num>
  <w:num w:numId="39">
    <w:abstractNumId w:val="7"/>
  </w:num>
  <w:num w:numId="40">
    <w:abstractNumId w:val="78"/>
  </w:num>
  <w:num w:numId="41">
    <w:abstractNumId w:val="0"/>
  </w:num>
  <w:num w:numId="42">
    <w:abstractNumId w:val="149"/>
  </w:num>
  <w:num w:numId="43">
    <w:abstractNumId w:val="56"/>
  </w:num>
  <w:num w:numId="44">
    <w:abstractNumId w:val="44"/>
  </w:num>
  <w:num w:numId="45">
    <w:abstractNumId w:val="95"/>
  </w:num>
  <w:num w:numId="46">
    <w:abstractNumId w:val="36"/>
  </w:num>
  <w:num w:numId="47">
    <w:abstractNumId w:val="153"/>
  </w:num>
  <w:num w:numId="48">
    <w:abstractNumId w:val="65"/>
  </w:num>
  <w:num w:numId="49">
    <w:abstractNumId w:val="30"/>
  </w:num>
  <w:num w:numId="50">
    <w:abstractNumId w:val="5"/>
  </w:num>
  <w:num w:numId="51">
    <w:abstractNumId w:val="87"/>
  </w:num>
  <w:num w:numId="52">
    <w:abstractNumId w:val="3"/>
  </w:num>
  <w:num w:numId="53">
    <w:abstractNumId w:val="116"/>
  </w:num>
  <w:num w:numId="54">
    <w:abstractNumId w:val="116"/>
  </w:num>
  <w:num w:numId="55">
    <w:abstractNumId w:val="112"/>
  </w:num>
  <w:num w:numId="56">
    <w:abstractNumId w:val="35"/>
  </w:num>
  <w:num w:numId="57">
    <w:abstractNumId w:val="106"/>
  </w:num>
  <w:num w:numId="58">
    <w:abstractNumId w:val="89"/>
  </w:num>
  <w:num w:numId="59">
    <w:abstractNumId w:val="134"/>
  </w:num>
  <w:num w:numId="60">
    <w:abstractNumId w:val="88"/>
  </w:num>
  <w:num w:numId="61">
    <w:abstractNumId w:val="55"/>
  </w:num>
  <w:num w:numId="62">
    <w:abstractNumId w:val="64"/>
  </w:num>
  <w:num w:numId="63">
    <w:abstractNumId w:val="110"/>
  </w:num>
  <w:num w:numId="64">
    <w:abstractNumId w:val="62"/>
  </w:num>
  <w:num w:numId="65">
    <w:abstractNumId w:val="6"/>
  </w:num>
  <w:num w:numId="66">
    <w:abstractNumId w:val="61"/>
  </w:num>
  <w:num w:numId="67">
    <w:abstractNumId w:val="60"/>
  </w:num>
  <w:num w:numId="68">
    <w:abstractNumId w:val="115"/>
  </w:num>
  <w:num w:numId="69">
    <w:abstractNumId w:val="14"/>
  </w:num>
  <w:num w:numId="70">
    <w:abstractNumId w:val="135"/>
  </w:num>
  <w:num w:numId="71">
    <w:abstractNumId w:val="158"/>
  </w:num>
  <w:num w:numId="72">
    <w:abstractNumId w:val="123"/>
  </w:num>
  <w:num w:numId="73">
    <w:abstractNumId w:val="118"/>
  </w:num>
  <w:num w:numId="74">
    <w:abstractNumId w:val="105"/>
  </w:num>
  <w:num w:numId="75">
    <w:abstractNumId w:val="79"/>
  </w:num>
  <w:num w:numId="76">
    <w:abstractNumId w:val="21"/>
  </w:num>
  <w:num w:numId="77">
    <w:abstractNumId w:val="164"/>
  </w:num>
  <w:num w:numId="78">
    <w:abstractNumId w:val="101"/>
  </w:num>
  <w:num w:numId="79">
    <w:abstractNumId w:val="116"/>
  </w:num>
  <w:num w:numId="80">
    <w:abstractNumId w:val="104"/>
  </w:num>
  <w:num w:numId="81">
    <w:abstractNumId w:val="165"/>
  </w:num>
  <w:num w:numId="82">
    <w:abstractNumId w:val="71"/>
  </w:num>
  <w:num w:numId="83">
    <w:abstractNumId w:val="84"/>
  </w:num>
  <w:num w:numId="84">
    <w:abstractNumId w:val="116"/>
  </w:num>
  <w:num w:numId="85">
    <w:abstractNumId w:val="45"/>
  </w:num>
  <w:num w:numId="86">
    <w:abstractNumId w:val="143"/>
  </w:num>
  <w:num w:numId="87">
    <w:abstractNumId w:val="48"/>
  </w:num>
  <w:num w:numId="88">
    <w:abstractNumId w:val="54"/>
  </w:num>
  <w:num w:numId="89">
    <w:abstractNumId w:val="119"/>
  </w:num>
  <w:num w:numId="90">
    <w:abstractNumId w:val="81"/>
  </w:num>
  <w:num w:numId="91">
    <w:abstractNumId w:val="82"/>
  </w:num>
  <w:num w:numId="92">
    <w:abstractNumId w:val="57"/>
  </w:num>
  <w:num w:numId="93">
    <w:abstractNumId w:val="111"/>
  </w:num>
  <w:num w:numId="94">
    <w:abstractNumId w:val="146"/>
  </w:num>
  <w:num w:numId="95">
    <w:abstractNumId w:val="69"/>
  </w:num>
  <w:num w:numId="96">
    <w:abstractNumId w:val="116"/>
  </w:num>
  <w:num w:numId="97">
    <w:abstractNumId w:val="116"/>
  </w:num>
  <w:num w:numId="98">
    <w:abstractNumId w:val="83"/>
  </w:num>
  <w:num w:numId="99">
    <w:abstractNumId w:val="113"/>
  </w:num>
  <w:num w:numId="100">
    <w:abstractNumId w:val="108"/>
  </w:num>
  <w:num w:numId="101">
    <w:abstractNumId w:val="148"/>
  </w:num>
  <w:num w:numId="102">
    <w:abstractNumId w:val="28"/>
  </w:num>
  <w:num w:numId="103">
    <w:abstractNumId w:val="22"/>
  </w:num>
  <w:num w:numId="104">
    <w:abstractNumId w:val="80"/>
  </w:num>
  <w:num w:numId="105">
    <w:abstractNumId w:val="169"/>
  </w:num>
  <w:num w:numId="106">
    <w:abstractNumId w:val="136"/>
  </w:num>
  <w:num w:numId="107">
    <w:abstractNumId w:val="31"/>
  </w:num>
  <w:num w:numId="108">
    <w:abstractNumId w:val="100"/>
  </w:num>
  <w:num w:numId="109">
    <w:abstractNumId w:val="42"/>
  </w:num>
  <w:num w:numId="110">
    <w:abstractNumId w:val="172"/>
  </w:num>
  <w:num w:numId="111">
    <w:abstractNumId w:val="68"/>
  </w:num>
  <w:num w:numId="112">
    <w:abstractNumId w:val="132"/>
  </w:num>
  <w:num w:numId="113">
    <w:abstractNumId w:val="116"/>
  </w:num>
  <w:num w:numId="114">
    <w:abstractNumId w:val="116"/>
  </w:num>
  <w:num w:numId="115">
    <w:abstractNumId w:val="131"/>
  </w:num>
  <w:num w:numId="116">
    <w:abstractNumId w:val="107"/>
  </w:num>
  <w:num w:numId="117">
    <w:abstractNumId w:val="27"/>
  </w:num>
  <w:num w:numId="118">
    <w:abstractNumId w:val="129"/>
  </w:num>
  <w:num w:numId="119">
    <w:abstractNumId w:val="116"/>
  </w:num>
  <w:num w:numId="120">
    <w:abstractNumId w:val="116"/>
  </w:num>
  <w:num w:numId="121">
    <w:abstractNumId w:val="90"/>
  </w:num>
  <w:num w:numId="122">
    <w:abstractNumId w:val="77"/>
  </w:num>
  <w:num w:numId="123">
    <w:abstractNumId w:val="127"/>
  </w:num>
  <w:num w:numId="124">
    <w:abstractNumId w:val="39"/>
  </w:num>
  <w:num w:numId="125">
    <w:abstractNumId w:val="91"/>
  </w:num>
  <w:num w:numId="126">
    <w:abstractNumId w:val="33"/>
  </w:num>
  <w:num w:numId="127">
    <w:abstractNumId w:val="26"/>
  </w:num>
  <w:num w:numId="128">
    <w:abstractNumId w:val="12"/>
  </w:num>
  <w:num w:numId="129">
    <w:abstractNumId w:val="98"/>
  </w:num>
  <w:num w:numId="130">
    <w:abstractNumId w:val="50"/>
  </w:num>
  <w:num w:numId="131">
    <w:abstractNumId w:val="19"/>
  </w:num>
  <w:num w:numId="132">
    <w:abstractNumId w:val="2"/>
  </w:num>
  <w:num w:numId="133">
    <w:abstractNumId w:val="122"/>
  </w:num>
  <w:num w:numId="134">
    <w:abstractNumId w:val="168"/>
  </w:num>
  <w:num w:numId="135">
    <w:abstractNumId w:val="116"/>
  </w:num>
  <w:num w:numId="136">
    <w:abstractNumId w:val="116"/>
  </w:num>
  <w:num w:numId="137">
    <w:abstractNumId w:val="67"/>
  </w:num>
  <w:num w:numId="138">
    <w:abstractNumId w:val="114"/>
  </w:num>
  <w:num w:numId="139">
    <w:abstractNumId w:val="46"/>
  </w:num>
  <w:num w:numId="140">
    <w:abstractNumId w:val="23"/>
  </w:num>
  <w:num w:numId="141">
    <w:abstractNumId w:val="125"/>
  </w:num>
  <w:num w:numId="142">
    <w:abstractNumId w:val="117"/>
  </w:num>
  <w:num w:numId="143">
    <w:abstractNumId w:val="93"/>
  </w:num>
  <w:num w:numId="144">
    <w:abstractNumId w:val="76"/>
  </w:num>
  <w:num w:numId="145">
    <w:abstractNumId w:val="109"/>
  </w:num>
  <w:num w:numId="146">
    <w:abstractNumId w:val="147"/>
  </w:num>
  <w:num w:numId="147">
    <w:abstractNumId w:val="140"/>
  </w:num>
  <w:num w:numId="148">
    <w:abstractNumId w:val="126"/>
  </w:num>
  <w:num w:numId="149">
    <w:abstractNumId w:val="171"/>
  </w:num>
  <w:num w:numId="150">
    <w:abstractNumId w:val="162"/>
  </w:num>
  <w:num w:numId="151">
    <w:abstractNumId w:val="161"/>
  </w:num>
  <w:num w:numId="152">
    <w:abstractNumId w:val="15"/>
  </w:num>
  <w:num w:numId="153">
    <w:abstractNumId w:val="24"/>
  </w:num>
  <w:num w:numId="154">
    <w:abstractNumId w:val="17"/>
  </w:num>
  <w:num w:numId="155">
    <w:abstractNumId w:val="34"/>
  </w:num>
  <w:num w:numId="156">
    <w:abstractNumId w:val="116"/>
  </w:num>
  <w:num w:numId="157">
    <w:abstractNumId w:val="116"/>
  </w:num>
  <w:num w:numId="158">
    <w:abstractNumId w:val="51"/>
  </w:num>
  <w:num w:numId="159">
    <w:abstractNumId w:val="128"/>
  </w:num>
  <w:num w:numId="160">
    <w:abstractNumId w:val="1"/>
  </w:num>
  <w:num w:numId="161">
    <w:abstractNumId w:val="13"/>
  </w:num>
  <w:num w:numId="162">
    <w:abstractNumId w:val="18"/>
  </w:num>
  <w:num w:numId="163">
    <w:abstractNumId w:val="116"/>
  </w:num>
  <w:num w:numId="164">
    <w:abstractNumId w:val="53"/>
  </w:num>
  <w:num w:numId="165">
    <w:abstractNumId w:val="116"/>
  </w:num>
  <w:num w:numId="166">
    <w:abstractNumId w:val="116"/>
  </w:num>
  <w:num w:numId="167">
    <w:abstractNumId w:val="116"/>
  </w:num>
  <w:num w:numId="168">
    <w:abstractNumId w:val="116"/>
  </w:num>
  <w:num w:numId="169">
    <w:abstractNumId w:val="116"/>
  </w:num>
  <w:num w:numId="170">
    <w:abstractNumId w:val="116"/>
  </w:num>
  <w:num w:numId="171">
    <w:abstractNumId w:val="103"/>
  </w:num>
  <w:num w:numId="172">
    <w:abstractNumId w:val="10"/>
  </w:num>
  <w:num w:numId="173">
    <w:abstractNumId w:val="116"/>
  </w:num>
  <w:num w:numId="174">
    <w:abstractNumId w:val="74"/>
  </w:num>
  <w:num w:numId="175">
    <w:abstractNumId w:val="139"/>
  </w:num>
  <w:num w:numId="176">
    <w:abstractNumId w:val="152"/>
  </w:num>
  <w:num w:numId="177">
    <w:abstractNumId w:val="20"/>
  </w:num>
  <w:num w:numId="178">
    <w:abstractNumId w:val="63"/>
  </w:num>
  <w:num w:numId="179">
    <w:abstractNumId w:val="40"/>
  </w:num>
  <w:num w:numId="180">
    <w:abstractNumId w:val="124"/>
  </w:num>
  <w:num w:numId="181">
    <w:abstractNumId w:val="121"/>
  </w:num>
  <w:num w:numId="182">
    <w:abstractNumId w:val="160"/>
  </w:num>
  <w:num w:numId="183">
    <w:abstractNumId w:val="37"/>
  </w:num>
  <w:num w:numId="184">
    <w:abstractNumId w:val="155"/>
  </w:num>
  <w:num w:numId="185">
    <w:abstractNumId w:val="49"/>
  </w:num>
  <w:num w:numId="186">
    <w:abstractNumId w:val="11"/>
  </w:num>
  <w:num w:numId="187">
    <w:abstractNumId w:val="130"/>
  </w:num>
  <w:num w:numId="188">
    <w:abstractNumId w:val="145"/>
  </w:num>
  <w:num w:numId="189">
    <w:abstractNumId w:val="133"/>
  </w:num>
  <w:num w:numId="190">
    <w:abstractNumId w:val="97"/>
  </w:num>
  <w:num w:numId="191">
    <w:abstractNumId w:val="94"/>
  </w:num>
  <w:num w:numId="192">
    <w:abstractNumId w:val="96"/>
  </w:num>
  <w:num w:numId="193">
    <w:abstractNumId w:val="159"/>
  </w:num>
  <w:num w:numId="194">
    <w:abstractNumId w:val="38"/>
  </w:num>
  <w:num w:numId="195">
    <w:abstractNumId w:val="7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BC"/>
    <w:rsid w:val="00001743"/>
    <w:rsid w:val="00001F06"/>
    <w:rsid w:val="00004C40"/>
    <w:rsid w:val="00004E8A"/>
    <w:rsid w:val="00006654"/>
    <w:rsid w:val="00007A35"/>
    <w:rsid w:val="0001025D"/>
    <w:rsid w:val="0001051D"/>
    <w:rsid w:val="00010F5C"/>
    <w:rsid w:val="000112E5"/>
    <w:rsid w:val="00011407"/>
    <w:rsid w:val="00011A71"/>
    <w:rsid w:val="00012212"/>
    <w:rsid w:val="00015A61"/>
    <w:rsid w:val="00015F5F"/>
    <w:rsid w:val="00016813"/>
    <w:rsid w:val="000175AC"/>
    <w:rsid w:val="00017A6F"/>
    <w:rsid w:val="00020043"/>
    <w:rsid w:val="000204C6"/>
    <w:rsid w:val="000207EB"/>
    <w:rsid w:val="00021358"/>
    <w:rsid w:val="000217B0"/>
    <w:rsid w:val="00023978"/>
    <w:rsid w:val="00025B8F"/>
    <w:rsid w:val="0002681F"/>
    <w:rsid w:val="00030B2D"/>
    <w:rsid w:val="00030D2E"/>
    <w:rsid w:val="00030EE7"/>
    <w:rsid w:val="00031594"/>
    <w:rsid w:val="00032971"/>
    <w:rsid w:val="00032E7B"/>
    <w:rsid w:val="00033623"/>
    <w:rsid w:val="000370B8"/>
    <w:rsid w:val="00037FA1"/>
    <w:rsid w:val="000404B5"/>
    <w:rsid w:val="000410C9"/>
    <w:rsid w:val="00041540"/>
    <w:rsid w:val="00043C54"/>
    <w:rsid w:val="00045EF8"/>
    <w:rsid w:val="000468A1"/>
    <w:rsid w:val="00046D4F"/>
    <w:rsid w:val="000477D0"/>
    <w:rsid w:val="00050509"/>
    <w:rsid w:val="00052846"/>
    <w:rsid w:val="00052CAA"/>
    <w:rsid w:val="00053483"/>
    <w:rsid w:val="000535E2"/>
    <w:rsid w:val="00054C59"/>
    <w:rsid w:val="00055262"/>
    <w:rsid w:val="00056FF7"/>
    <w:rsid w:val="000614D8"/>
    <w:rsid w:val="00062010"/>
    <w:rsid w:val="00062DEC"/>
    <w:rsid w:val="000637FF"/>
    <w:rsid w:val="00064552"/>
    <w:rsid w:val="00065228"/>
    <w:rsid w:val="0006558C"/>
    <w:rsid w:val="00065ED5"/>
    <w:rsid w:val="000670DD"/>
    <w:rsid w:val="00067AAB"/>
    <w:rsid w:val="000702B8"/>
    <w:rsid w:val="00070C0F"/>
    <w:rsid w:val="00070EFD"/>
    <w:rsid w:val="0007167E"/>
    <w:rsid w:val="00071F0E"/>
    <w:rsid w:val="00072B06"/>
    <w:rsid w:val="00073C9B"/>
    <w:rsid w:val="00074023"/>
    <w:rsid w:val="000759D0"/>
    <w:rsid w:val="00075BDE"/>
    <w:rsid w:val="00076527"/>
    <w:rsid w:val="000768F2"/>
    <w:rsid w:val="00076E9A"/>
    <w:rsid w:val="00077D40"/>
    <w:rsid w:val="00080CB7"/>
    <w:rsid w:val="000818A5"/>
    <w:rsid w:val="00083C36"/>
    <w:rsid w:val="000855A2"/>
    <w:rsid w:val="00090523"/>
    <w:rsid w:val="000908D2"/>
    <w:rsid w:val="000912EF"/>
    <w:rsid w:val="00091B26"/>
    <w:rsid w:val="00092FFC"/>
    <w:rsid w:val="00094BC4"/>
    <w:rsid w:val="0009629F"/>
    <w:rsid w:val="00096422"/>
    <w:rsid w:val="000A0984"/>
    <w:rsid w:val="000A16F9"/>
    <w:rsid w:val="000A2D67"/>
    <w:rsid w:val="000A423B"/>
    <w:rsid w:val="000A4598"/>
    <w:rsid w:val="000A686C"/>
    <w:rsid w:val="000A6CAA"/>
    <w:rsid w:val="000A7EA8"/>
    <w:rsid w:val="000B0448"/>
    <w:rsid w:val="000B1AC9"/>
    <w:rsid w:val="000B2EC5"/>
    <w:rsid w:val="000B3E36"/>
    <w:rsid w:val="000B53BE"/>
    <w:rsid w:val="000B5733"/>
    <w:rsid w:val="000B5790"/>
    <w:rsid w:val="000B6C1A"/>
    <w:rsid w:val="000B709A"/>
    <w:rsid w:val="000B7552"/>
    <w:rsid w:val="000B7E64"/>
    <w:rsid w:val="000C0B96"/>
    <w:rsid w:val="000C2AD8"/>
    <w:rsid w:val="000C315A"/>
    <w:rsid w:val="000C3168"/>
    <w:rsid w:val="000C49DC"/>
    <w:rsid w:val="000C63B5"/>
    <w:rsid w:val="000C674E"/>
    <w:rsid w:val="000C6ED5"/>
    <w:rsid w:val="000C702B"/>
    <w:rsid w:val="000C7881"/>
    <w:rsid w:val="000D35B5"/>
    <w:rsid w:val="000D5E5C"/>
    <w:rsid w:val="000D6A83"/>
    <w:rsid w:val="000D7B7E"/>
    <w:rsid w:val="000D7BE7"/>
    <w:rsid w:val="000D7C31"/>
    <w:rsid w:val="000E03E2"/>
    <w:rsid w:val="000E0DC1"/>
    <w:rsid w:val="000E185F"/>
    <w:rsid w:val="000E2335"/>
    <w:rsid w:val="000E3205"/>
    <w:rsid w:val="000E3A87"/>
    <w:rsid w:val="000E4ECB"/>
    <w:rsid w:val="000E5F7F"/>
    <w:rsid w:val="000E62A5"/>
    <w:rsid w:val="000E6AAA"/>
    <w:rsid w:val="000F26F1"/>
    <w:rsid w:val="000F2B84"/>
    <w:rsid w:val="000F3262"/>
    <w:rsid w:val="000F469F"/>
    <w:rsid w:val="000F5CD4"/>
    <w:rsid w:val="000F736A"/>
    <w:rsid w:val="000F74FD"/>
    <w:rsid w:val="000F7711"/>
    <w:rsid w:val="000F79C5"/>
    <w:rsid w:val="000F7BF2"/>
    <w:rsid w:val="001026AE"/>
    <w:rsid w:val="00102D10"/>
    <w:rsid w:val="00102E2F"/>
    <w:rsid w:val="001046E8"/>
    <w:rsid w:val="00106BD8"/>
    <w:rsid w:val="00106C2F"/>
    <w:rsid w:val="00112F3B"/>
    <w:rsid w:val="001136C5"/>
    <w:rsid w:val="001142D4"/>
    <w:rsid w:val="0011473C"/>
    <w:rsid w:val="00114EBB"/>
    <w:rsid w:val="001152DE"/>
    <w:rsid w:val="001200D8"/>
    <w:rsid w:val="001218EF"/>
    <w:rsid w:val="001224AE"/>
    <w:rsid w:val="00122861"/>
    <w:rsid w:val="001229E0"/>
    <w:rsid w:val="00123AE7"/>
    <w:rsid w:val="0012445F"/>
    <w:rsid w:val="001262D3"/>
    <w:rsid w:val="00127527"/>
    <w:rsid w:val="00127CE5"/>
    <w:rsid w:val="00130566"/>
    <w:rsid w:val="0013060E"/>
    <w:rsid w:val="0013062E"/>
    <w:rsid w:val="0013132D"/>
    <w:rsid w:val="001318E5"/>
    <w:rsid w:val="001323B7"/>
    <w:rsid w:val="00134859"/>
    <w:rsid w:val="001355E7"/>
    <w:rsid w:val="0013593F"/>
    <w:rsid w:val="00135D1E"/>
    <w:rsid w:val="00137D68"/>
    <w:rsid w:val="00141224"/>
    <w:rsid w:val="00143377"/>
    <w:rsid w:val="00144487"/>
    <w:rsid w:val="00144B67"/>
    <w:rsid w:val="00144D00"/>
    <w:rsid w:val="00145E59"/>
    <w:rsid w:val="0015020A"/>
    <w:rsid w:val="00151C76"/>
    <w:rsid w:val="00152353"/>
    <w:rsid w:val="001530A4"/>
    <w:rsid w:val="001536C4"/>
    <w:rsid w:val="001536CE"/>
    <w:rsid w:val="00153FF3"/>
    <w:rsid w:val="001578B9"/>
    <w:rsid w:val="001607E5"/>
    <w:rsid w:val="00160BB2"/>
    <w:rsid w:val="00161C56"/>
    <w:rsid w:val="0016313A"/>
    <w:rsid w:val="00165A37"/>
    <w:rsid w:val="00165B0D"/>
    <w:rsid w:val="00166CF6"/>
    <w:rsid w:val="00166F2B"/>
    <w:rsid w:val="001670CE"/>
    <w:rsid w:val="0017090B"/>
    <w:rsid w:val="001710D5"/>
    <w:rsid w:val="00171125"/>
    <w:rsid w:val="00171779"/>
    <w:rsid w:val="00173796"/>
    <w:rsid w:val="00173D87"/>
    <w:rsid w:val="00174DD8"/>
    <w:rsid w:val="00174EFD"/>
    <w:rsid w:val="0017515A"/>
    <w:rsid w:val="00175438"/>
    <w:rsid w:val="0017555F"/>
    <w:rsid w:val="00175A18"/>
    <w:rsid w:val="00176464"/>
    <w:rsid w:val="00176DB6"/>
    <w:rsid w:val="00180B05"/>
    <w:rsid w:val="00182B0A"/>
    <w:rsid w:val="00184054"/>
    <w:rsid w:val="0018460D"/>
    <w:rsid w:val="001850A0"/>
    <w:rsid w:val="001867FA"/>
    <w:rsid w:val="001875D1"/>
    <w:rsid w:val="001876C4"/>
    <w:rsid w:val="001879A2"/>
    <w:rsid w:val="00191003"/>
    <w:rsid w:val="00192ADE"/>
    <w:rsid w:val="00193794"/>
    <w:rsid w:val="00194433"/>
    <w:rsid w:val="00194D2B"/>
    <w:rsid w:val="00197545"/>
    <w:rsid w:val="00197572"/>
    <w:rsid w:val="001975CD"/>
    <w:rsid w:val="001A0BB9"/>
    <w:rsid w:val="001A1343"/>
    <w:rsid w:val="001A2B34"/>
    <w:rsid w:val="001A2D4F"/>
    <w:rsid w:val="001A563A"/>
    <w:rsid w:val="001A56D8"/>
    <w:rsid w:val="001A5CC7"/>
    <w:rsid w:val="001A6517"/>
    <w:rsid w:val="001A75CE"/>
    <w:rsid w:val="001B034F"/>
    <w:rsid w:val="001B0A85"/>
    <w:rsid w:val="001B0DDF"/>
    <w:rsid w:val="001B23AA"/>
    <w:rsid w:val="001B4EBF"/>
    <w:rsid w:val="001B557C"/>
    <w:rsid w:val="001B61EC"/>
    <w:rsid w:val="001B67DB"/>
    <w:rsid w:val="001B6EAA"/>
    <w:rsid w:val="001B7A82"/>
    <w:rsid w:val="001C0BF7"/>
    <w:rsid w:val="001C1AD4"/>
    <w:rsid w:val="001C3CF2"/>
    <w:rsid w:val="001C4C75"/>
    <w:rsid w:val="001C4C8C"/>
    <w:rsid w:val="001C5913"/>
    <w:rsid w:val="001C7DCF"/>
    <w:rsid w:val="001D1745"/>
    <w:rsid w:val="001D2A34"/>
    <w:rsid w:val="001D3021"/>
    <w:rsid w:val="001D38B8"/>
    <w:rsid w:val="001D4B8B"/>
    <w:rsid w:val="001D4BAE"/>
    <w:rsid w:val="001D4BE9"/>
    <w:rsid w:val="001D54F2"/>
    <w:rsid w:val="001D5989"/>
    <w:rsid w:val="001D6DF8"/>
    <w:rsid w:val="001D71C9"/>
    <w:rsid w:val="001D79CF"/>
    <w:rsid w:val="001D7EC2"/>
    <w:rsid w:val="001E0769"/>
    <w:rsid w:val="001E0CEB"/>
    <w:rsid w:val="001E3222"/>
    <w:rsid w:val="001E3D8A"/>
    <w:rsid w:val="001E54F7"/>
    <w:rsid w:val="001E571B"/>
    <w:rsid w:val="001E6A03"/>
    <w:rsid w:val="001E6FAA"/>
    <w:rsid w:val="001E6FE4"/>
    <w:rsid w:val="001E7EDB"/>
    <w:rsid w:val="001F15A1"/>
    <w:rsid w:val="001F1610"/>
    <w:rsid w:val="001F1D56"/>
    <w:rsid w:val="001F2397"/>
    <w:rsid w:val="001F34CC"/>
    <w:rsid w:val="001F3F7A"/>
    <w:rsid w:val="001F4049"/>
    <w:rsid w:val="001F427A"/>
    <w:rsid w:val="001F5294"/>
    <w:rsid w:val="001F5A51"/>
    <w:rsid w:val="001F6180"/>
    <w:rsid w:val="001F72BA"/>
    <w:rsid w:val="00202CB3"/>
    <w:rsid w:val="00204734"/>
    <w:rsid w:val="00204BCA"/>
    <w:rsid w:val="0020643C"/>
    <w:rsid w:val="00206698"/>
    <w:rsid w:val="002102C5"/>
    <w:rsid w:val="00211864"/>
    <w:rsid w:val="00211F88"/>
    <w:rsid w:val="002136CB"/>
    <w:rsid w:val="00213E69"/>
    <w:rsid w:val="002146ED"/>
    <w:rsid w:val="00215D6B"/>
    <w:rsid w:val="00216DEC"/>
    <w:rsid w:val="00220487"/>
    <w:rsid w:val="002217B3"/>
    <w:rsid w:val="002219E2"/>
    <w:rsid w:val="00223012"/>
    <w:rsid w:val="00223D08"/>
    <w:rsid w:val="00224DD1"/>
    <w:rsid w:val="00224ECE"/>
    <w:rsid w:val="002261FA"/>
    <w:rsid w:val="00226477"/>
    <w:rsid w:val="00226AAF"/>
    <w:rsid w:val="00227918"/>
    <w:rsid w:val="00227DB6"/>
    <w:rsid w:val="00231EFD"/>
    <w:rsid w:val="00231F5C"/>
    <w:rsid w:val="00234F69"/>
    <w:rsid w:val="00234FB2"/>
    <w:rsid w:val="002357DF"/>
    <w:rsid w:val="00235AF8"/>
    <w:rsid w:val="00236A00"/>
    <w:rsid w:val="002371C0"/>
    <w:rsid w:val="0024027D"/>
    <w:rsid w:val="0024139E"/>
    <w:rsid w:val="0024153D"/>
    <w:rsid w:val="00241FDB"/>
    <w:rsid w:val="0024210E"/>
    <w:rsid w:val="00242374"/>
    <w:rsid w:val="00243973"/>
    <w:rsid w:val="00244242"/>
    <w:rsid w:val="002459B7"/>
    <w:rsid w:val="0024715E"/>
    <w:rsid w:val="00247567"/>
    <w:rsid w:val="002519E0"/>
    <w:rsid w:val="002520C8"/>
    <w:rsid w:val="002522AC"/>
    <w:rsid w:val="0025409A"/>
    <w:rsid w:val="0025637C"/>
    <w:rsid w:val="00257DCA"/>
    <w:rsid w:val="00260244"/>
    <w:rsid w:val="00260512"/>
    <w:rsid w:val="00260DD0"/>
    <w:rsid w:val="0026248F"/>
    <w:rsid w:val="00262824"/>
    <w:rsid w:val="0026430B"/>
    <w:rsid w:val="0026440E"/>
    <w:rsid w:val="00265104"/>
    <w:rsid w:val="00265890"/>
    <w:rsid w:val="00266225"/>
    <w:rsid w:val="0026628F"/>
    <w:rsid w:val="002663B8"/>
    <w:rsid w:val="00267FD1"/>
    <w:rsid w:val="00270872"/>
    <w:rsid w:val="002714FA"/>
    <w:rsid w:val="00271AC8"/>
    <w:rsid w:val="00273281"/>
    <w:rsid w:val="002738FA"/>
    <w:rsid w:val="002748A0"/>
    <w:rsid w:val="00276B60"/>
    <w:rsid w:val="00280826"/>
    <w:rsid w:val="00283810"/>
    <w:rsid w:val="00284178"/>
    <w:rsid w:val="0028423F"/>
    <w:rsid w:val="00284763"/>
    <w:rsid w:val="002848D5"/>
    <w:rsid w:val="00286E67"/>
    <w:rsid w:val="00287BEB"/>
    <w:rsid w:val="00290B54"/>
    <w:rsid w:val="00294C2A"/>
    <w:rsid w:val="0029607B"/>
    <w:rsid w:val="00297753"/>
    <w:rsid w:val="002A01D0"/>
    <w:rsid w:val="002A11A5"/>
    <w:rsid w:val="002A2AA1"/>
    <w:rsid w:val="002A5B3C"/>
    <w:rsid w:val="002A5B74"/>
    <w:rsid w:val="002A64EF"/>
    <w:rsid w:val="002A6862"/>
    <w:rsid w:val="002A6A7A"/>
    <w:rsid w:val="002A75C8"/>
    <w:rsid w:val="002A7B65"/>
    <w:rsid w:val="002B067E"/>
    <w:rsid w:val="002B0F29"/>
    <w:rsid w:val="002B1280"/>
    <w:rsid w:val="002B1D70"/>
    <w:rsid w:val="002B2658"/>
    <w:rsid w:val="002B2A3E"/>
    <w:rsid w:val="002B514F"/>
    <w:rsid w:val="002B5840"/>
    <w:rsid w:val="002B5D15"/>
    <w:rsid w:val="002B61A6"/>
    <w:rsid w:val="002B6205"/>
    <w:rsid w:val="002B7576"/>
    <w:rsid w:val="002C0823"/>
    <w:rsid w:val="002C0935"/>
    <w:rsid w:val="002C1EA6"/>
    <w:rsid w:val="002C4852"/>
    <w:rsid w:val="002C5498"/>
    <w:rsid w:val="002D058E"/>
    <w:rsid w:val="002D1238"/>
    <w:rsid w:val="002D1808"/>
    <w:rsid w:val="002D1850"/>
    <w:rsid w:val="002D1EC1"/>
    <w:rsid w:val="002D3C0A"/>
    <w:rsid w:val="002D40F3"/>
    <w:rsid w:val="002D4745"/>
    <w:rsid w:val="002D48D4"/>
    <w:rsid w:val="002D5A08"/>
    <w:rsid w:val="002D6701"/>
    <w:rsid w:val="002D7865"/>
    <w:rsid w:val="002D7C3C"/>
    <w:rsid w:val="002E0FD3"/>
    <w:rsid w:val="002E113D"/>
    <w:rsid w:val="002E1651"/>
    <w:rsid w:val="002E1E77"/>
    <w:rsid w:val="002E2198"/>
    <w:rsid w:val="002E2A17"/>
    <w:rsid w:val="002E3871"/>
    <w:rsid w:val="002E3D53"/>
    <w:rsid w:val="002E470E"/>
    <w:rsid w:val="002E5289"/>
    <w:rsid w:val="002E64A2"/>
    <w:rsid w:val="002F0924"/>
    <w:rsid w:val="002F0A04"/>
    <w:rsid w:val="002F1346"/>
    <w:rsid w:val="002F24D7"/>
    <w:rsid w:val="002F2BB2"/>
    <w:rsid w:val="002F3BBB"/>
    <w:rsid w:val="002F5250"/>
    <w:rsid w:val="002F58FC"/>
    <w:rsid w:val="002F681A"/>
    <w:rsid w:val="00300317"/>
    <w:rsid w:val="0030084B"/>
    <w:rsid w:val="00300A6B"/>
    <w:rsid w:val="003014F8"/>
    <w:rsid w:val="00302718"/>
    <w:rsid w:val="00302BFC"/>
    <w:rsid w:val="00303CD5"/>
    <w:rsid w:val="00304F32"/>
    <w:rsid w:val="0031019C"/>
    <w:rsid w:val="00310252"/>
    <w:rsid w:val="003109B6"/>
    <w:rsid w:val="00312747"/>
    <w:rsid w:val="0031356B"/>
    <w:rsid w:val="00313BE1"/>
    <w:rsid w:val="0031400B"/>
    <w:rsid w:val="00315110"/>
    <w:rsid w:val="00317CC1"/>
    <w:rsid w:val="00317D25"/>
    <w:rsid w:val="00320967"/>
    <w:rsid w:val="0032346C"/>
    <w:rsid w:val="0032490D"/>
    <w:rsid w:val="00325185"/>
    <w:rsid w:val="00325423"/>
    <w:rsid w:val="003259F8"/>
    <w:rsid w:val="00326287"/>
    <w:rsid w:val="003272FB"/>
    <w:rsid w:val="003326EB"/>
    <w:rsid w:val="00332D50"/>
    <w:rsid w:val="00333036"/>
    <w:rsid w:val="00333A98"/>
    <w:rsid w:val="00335947"/>
    <w:rsid w:val="0033665D"/>
    <w:rsid w:val="003366B6"/>
    <w:rsid w:val="00337530"/>
    <w:rsid w:val="0033775D"/>
    <w:rsid w:val="0033798B"/>
    <w:rsid w:val="0034076E"/>
    <w:rsid w:val="003411BC"/>
    <w:rsid w:val="00345403"/>
    <w:rsid w:val="0034586F"/>
    <w:rsid w:val="003461A5"/>
    <w:rsid w:val="00350B87"/>
    <w:rsid w:val="003517A0"/>
    <w:rsid w:val="0035411F"/>
    <w:rsid w:val="003546B7"/>
    <w:rsid w:val="00355BA9"/>
    <w:rsid w:val="003567A4"/>
    <w:rsid w:val="00357351"/>
    <w:rsid w:val="0036159F"/>
    <w:rsid w:val="0036234B"/>
    <w:rsid w:val="00362F68"/>
    <w:rsid w:val="003665C9"/>
    <w:rsid w:val="00367F5C"/>
    <w:rsid w:val="00370A9C"/>
    <w:rsid w:val="003710AB"/>
    <w:rsid w:val="00371589"/>
    <w:rsid w:val="0037167D"/>
    <w:rsid w:val="00371871"/>
    <w:rsid w:val="003729CC"/>
    <w:rsid w:val="00375EED"/>
    <w:rsid w:val="00375F04"/>
    <w:rsid w:val="00381045"/>
    <w:rsid w:val="0038123D"/>
    <w:rsid w:val="00382C96"/>
    <w:rsid w:val="003838E1"/>
    <w:rsid w:val="0038409F"/>
    <w:rsid w:val="003845DB"/>
    <w:rsid w:val="00384900"/>
    <w:rsid w:val="00384A9A"/>
    <w:rsid w:val="0038660A"/>
    <w:rsid w:val="00387001"/>
    <w:rsid w:val="00390BB1"/>
    <w:rsid w:val="00390EAF"/>
    <w:rsid w:val="0039146B"/>
    <w:rsid w:val="00391B94"/>
    <w:rsid w:val="00393B28"/>
    <w:rsid w:val="0039565C"/>
    <w:rsid w:val="003959A5"/>
    <w:rsid w:val="00396DE2"/>
    <w:rsid w:val="00397791"/>
    <w:rsid w:val="003A006A"/>
    <w:rsid w:val="003A13ED"/>
    <w:rsid w:val="003A1CAA"/>
    <w:rsid w:val="003A28E2"/>
    <w:rsid w:val="003A3F9E"/>
    <w:rsid w:val="003A4464"/>
    <w:rsid w:val="003A51B2"/>
    <w:rsid w:val="003A5CB7"/>
    <w:rsid w:val="003A5F0C"/>
    <w:rsid w:val="003A658B"/>
    <w:rsid w:val="003A78D8"/>
    <w:rsid w:val="003A7F04"/>
    <w:rsid w:val="003B0233"/>
    <w:rsid w:val="003B29C9"/>
    <w:rsid w:val="003B3C67"/>
    <w:rsid w:val="003B4520"/>
    <w:rsid w:val="003B5412"/>
    <w:rsid w:val="003B564E"/>
    <w:rsid w:val="003B56CF"/>
    <w:rsid w:val="003B59C5"/>
    <w:rsid w:val="003B5A2A"/>
    <w:rsid w:val="003B6699"/>
    <w:rsid w:val="003B68C7"/>
    <w:rsid w:val="003B78E1"/>
    <w:rsid w:val="003B7DB4"/>
    <w:rsid w:val="003C011C"/>
    <w:rsid w:val="003C24F4"/>
    <w:rsid w:val="003C36F5"/>
    <w:rsid w:val="003C4157"/>
    <w:rsid w:val="003C4554"/>
    <w:rsid w:val="003C577E"/>
    <w:rsid w:val="003C631E"/>
    <w:rsid w:val="003C6378"/>
    <w:rsid w:val="003C7EEC"/>
    <w:rsid w:val="003D0BC3"/>
    <w:rsid w:val="003D23FC"/>
    <w:rsid w:val="003D2D8A"/>
    <w:rsid w:val="003D36AE"/>
    <w:rsid w:val="003D38BA"/>
    <w:rsid w:val="003D40E0"/>
    <w:rsid w:val="003D57BB"/>
    <w:rsid w:val="003D5D08"/>
    <w:rsid w:val="003D5D71"/>
    <w:rsid w:val="003D69EF"/>
    <w:rsid w:val="003D700A"/>
    <w:rsid w:val="003E4A72"/>
    <w:rsid w:val="003E604D"/>
    <w:rsid w:val="003E67FA"/>
    <w:rsid w:val="003E698C"/>
    <w:rsid w:val="003E6C03"/>
    <w:rsid w:val="003E70CC"/>
    <w:rsid w:val="003F012E"/>
    <w:rsid w:val="003F1433"/>
    <w:rsid w:val="003F2AD1"/>
    <w:rsid w:val="003F30A3"/>
    <w:rsid w:val="003F3358"/>
    <w:rsid w:val="003F3BA3"/>
    <w:rsid w:val="003F42F2"/>
    <w:rsid w:val="003F5A3E"/>
    <w:rsid w:val="003F7B63"/>
    <w:rsid w:val="003F7C5C"/>
    <w:rsid w:val="00400655"/>
    <w:rsid w:val="00400FF3"/>
    <w:rsid w:val="00403818"/>
    <w:rsid w:val="00404337"/>
    <w:rsid w:val="00405344"/>
    <w:rsid w:val="0040633E"/>
    <w:rsid w:val="00407E4A"/>
    <w:rsid w:val="004104F6"/>
    <w:rsid w:val="0041118C"/>
    <w:rsid w:val="00412547"/>
    <w:rsid w:val="00412F6F"/>
    <w:rsid w:val="0041309E"/>
    <w:rsid w:val="00413B89"/>
    <w:rsid w:val="004140CB"/>
    <w:rsid w:val="00414CF4"/>
    <w:rsid w:val="004162AD"/>
    <w:rsid w:val="00417661"/>
    <w:rsid w:val="00417847"/>
    <w:rsid w:val="00420CA5"/>
    <w:rsid w:val="00422407"/>
    <w:rsid w:val="0042369A"/>
    <w:rsid w:val="00424F29"/>
    <w:rsid w:val="00425F55"/>
    <w:rsid w:val="004269CC"/>
    <w:rsid w:val="004269FA"/>
    <w:rsid w:val="00427067"/>
    <w:rsid w:val="00431BCC"/>
    <w:rsid w:val="00431F3B"/>
    <w:rsid w:val="0043347B"/>
    <w:rsid w:val="00433DA0"/>
    <w:rsid w:val="00433E70"/>
    <w:rsid w:val="00434DF2"/>
    <w:rsid w:val="004351A9"/>
    <w:rsid w:val="00435331"/>
    <w:rsid w:val="0043622C"/>
    <w:rsid w:val="00436267"/>
    <w:rsid w:val="00436579"/>
    <w:rsid w:val="00436F13"/>
    <w:rsid w:val="00437471"/>
    <w:rsid w:val="00441D04"/>
    <w:rsid w:val="004443AE"/>
    <w:rsid w:val="004447F8"/>
    <w:rsid w:val="00445A87"/>
    <w:rsid w:val="004466AB"/>
    <w:rsid w:val="00446C55"/>
    <w:rsid w:val="004473C0"/>
    <w:rsid w:val="004516FB"/>
    <w:rsid w:val="00451FCC"/>
    <w:rsid w:val="00452498"/>
    <w:rsid w:val="00452C47"/>
    <w:rsid w:val="004537A2"/>
    <w:rsid w:val="00453F35"/>
    <w:rsid w:val="00457CEF"/>
    <w:rsid w:val="00460879"/>
    <w:rsid w:val="00460A99"/>
    <w:rsid w:val="00461A8D"/>
    <w:rsid w:val="00461DDC"/>
    <w:rsid w:val="004628F8"/>
    <w:rsid w:val="004629EE"/>
    <w:rsid w:val="00463522"/>
    <w:rsid w:val="00463BBD"/>
    <w:rsid w:val="004655EF"/>
    <w:rsid w:val="00465C51"/>
    <w:rsid w:val="00465F85"/>
    <w:rsid w:val="00466635"/>
    <w:rsid w:val="0046722A"/>
    <w:rsid w:val="0046735C"/>
    <w:rsid w:val="004677F0"/>
    <w:rsid w:val="0047268F"/>
    <w:rsid w:val="004762E9"/>
    <w:rsid w:val="00480BD3"/>
    <w:rsid w:val="00480E9B"/>
    <w:rsid w:val="004843D2"/>
    <w:rsid w:val="0048483A"/>
    <w:rsid w:val="00484AEF"/>
    <w:rsid w:val="00485802"/>
    <w:rsid w:val="00491136"/>
    <w:rsid w:val="00491596"/>
    <w:rsid w:val="00491749"/>
    <w:rsid w:val="0049196D"/>
    <w:rsid w:val="0049242C"/>
    <w:rsid w:val="0049274C"/>
    <w:rsid w:val="00492E31"/>
    <w:rsid w:val="00493BEA"/>
    <w:rsid w:val="00497F87"/>
    <w:rsid w:val="004A0ABF"/>
    <w:rsid w:val="004A30EB"/>
    <w:rsid w:val="004A3278"/>
    <w:rsid w:val="004A5D21"/>
    <w:rsid w:val="004A60C0"/>
    <w:rsid w:val="004A60EE"/>
    <w:rsid w:val="004A717E"/>
    <w:rsid w:val="004A7A30"/>
    <w:rsid w:val="004B0806"/>
    <w:rsid w:val="004B19B1"/>
    <w:rsid w:val="004B4B60"/>
    <w:rsid w:val="004B5A56"/>
    <w:rsid w:val="004B6278"/>
    <w:rsid w:val="004B71EF"/>
    <w:rsid w:val="004B7211"/>
    <w:rsid w:val="004B7C05"/>
    <w:rsid w:val="004B7C82"/>
    <w:rsid w:val="004B7EC4"/>
    <w:rsid w:val="004C06F8"/>
    <w:rsid w:val="004C1614"/>
    <w:rsid w:val="004C1C90"/>
    <w:rsid w:val="004C341A"/>
    <w:rsid w:val="004C3651"/>
    <w:rsid w:val="004C3EAE"/>
    <w:rsid w:val="004C3F80"/>
    <w:rsid w:val="004C44D4"/>
    <w:rsid w:val="004C5E67"/>
    <w:rsid w:val="004C74C6"/>
    <w:rsid w:val="004C75DB"/>
    <w:rsid w:val="004D0C7B"/>
    <w:rsid w:val="004D0D49"/>
    <w:rsid w:val="004D3345"/>
    <w:rsid w:val="004D3CFD"/>
    <w:rsid w:val="004D3E72"/>
    <w:rsid w:val="004D6A9B"/>
    <w:rsid w:val="004E09FE"/>
    <w:rsid w:val="004E0FAF"/>
    <w:rsid w:val="004E6160"/>
    <w:rsid w:val="004E6F13"/>
    <w:rsid w:val="004E71FC"/>
    <w:rsid w:val="004E7BA9"/>
    <w:rsid w:val="004F0627"/>
    <w:rsid w:val="004F2128"/>
    <w:rsid w:val="004F31FC"/>
    <w:rsid w:val="004F352E"/>
    <w:rsid w:val="004F3DA3"/>
    <w:rsid w:val="004F437B"/>
    <w:rsid w:val="004F4A9B"/>
    <w:rsid w:val="004F51A8"/>
    <w:rsid w:val="005013D9"/>
    <w:rsid w:val="00503B88"/>
    <w:rsid w:val="0050514D"/>
    <w:rsid w:val="00506DED"/>
    <w:rsid w:val="00507B50"/>
    <w:rsid w:val="00507D02"/>
    <w:rsid w:val="00510F46"/>
    <w:rsid w:val="005110B4"/>
    <w:rsid w:val="00512447"/>
    <w:rsid w:val="005124AF"/>
    <w:rsid w:val="005156C6"/>
    <w:rsid w:val="00515FF8"/>
    <w:rsid w:val="00516324"/>
    <w:rsid w:val="00517A6E"/>
    <w:rsid w:val="0052056D"/>
    <w:rsid w:val="005205F6"/>
    <w:rsid w:val="00523F61"/>
    <w:rsid w:val="005243F3"/>
    <w:rsid w:val="0052485C"/>
    <w:rsid w:val="00524CFB"/>
    <w:rsid w:val="00531BC5"/>
    <w:rsid w:val="005323FE"/>
    <w:rsid w:val="005327E7"/>
    <w:rsid w:val="005338AC"/>
    <w:rsid w:val="00533F4A"/>
    <w:rsid w:val="005347EE"/>
    <w:rsid w:val="00535DEB"/>
    <w:rsid w:val="00536B7B"/>
    <w:rsid w:val="0053761A"/>
    <w:rsid w:val="0054200A"/>
    <w:rsid w:val="0054239E"/>
    <w:rsid w:val="0054294F"/>
    <w:rsid w:val="00543BA0"/>
    <w:rsid w:val="00543F6A"/>
    <w:rsid w:val="00546901"/>
    <w:rsid w:val="0054776E"/>
    <w:rsid w:val="00550F9B"/>
    <w:rsid w:val="005517E6"/>
    <w:rsid w:val="00552B06"/>
    <w:rsid w:val="005563C8"/>
    <w:rsid w:val="00556BE6"/>
    <w:rsid w:val="00556EE3"/>
    <w:rsid w:val="0055765F"/>
    <w:rsid w:val="005576A0"/>
    <w:rsid w:val="005603D0"/>
    <w:rsid w:val="00560BA4"/>
    <w:rsid w:val="00560DD6"/>
    <w:rsid w:val="00561AB5"/>
    <w:rsid w:val="00562078"/>
    <w:rsid w:val="00562569"/>
    <w:rsid w:val="00563C31"/>
    <w:rsid w:val="005644AE"/>
    <w:rsid w:val="00564B30"/>
    <w:rsid w:val="00565EA0"/>
    <w:rsid w:val="00566001"/>
    <w:rsid w:val="005672FB"/>
    <w:rsid w:val="00567B9C"/>
    <w:rsid w:val="005705BA"/>
    <w:rsid w:val="00570CE4"/>
    <w:rsid w:val="00571469"/>
    <w:rsid w:val="00571837"/>
    <w:rsid w:val="00571F95"/>
    <w:rsid w:val="0057522C"/>
    <w:rsid w:val="00576FE6"/>
    <w:rsid w:val="00580093"/>
    <w:rsid w:val="0058029D"/>
    <w:rsid w:val="00581A40"/>
    <w:rsid w:val="005838E1"/>
    <w:rsid w:val="00583D97"/>
    <w:rsid w:val="00583FBA"/>
    <w:rsid w:val="0058493D"/>
    <w:rsid w:val="00584A1C"/>
    <w:rsid w:val="0058542E"/>
    <w:rsid w:val="00586911"/>
    <w:rsid w:val="005869C9"/>
    <w:rsid w:val="00590DED"/>
    <w:rsid w:val="00591FE6"/>
    <w:rsid w:val="00592B9A"/>
    <w:rsid w:val="00592E8D"/>
    <w:rsid w:val="00593A11"/>
    <w:rsid w:val="0059592F"/>
    <w:rsid w:val="00596004"/>
    <w:rsid w:val="00596471"/>
    <w:rsid w:val="005A0046"/>
    <w:rsid w:val="005A2C4B"/>
    <w:rsid w:val="005A3868"/>
    <w:rsid w:val="005A3E7A"/>
    <w:rsid w:val="005A42F2"/>
    <w:rsid w:val="005A58C7"/>
    <w:rsid w:val="005A61F6"/>
    <w:rsid w:val="005A6835"/>
    <w:rsid w:val="005A7FE9"/>
    <w:rsid w:val="005B01AE"/>
    <w:rsid w:val="005B0772"/>
    <w:rsid w:val="005B3991"/>
    <w:rsid w:val="005B3DDC"/>
    <w:rsid w:val="005B43D5"/>
    <w:rsid w:val="005B4AB7"/>
    <w:rsid w:val="005B55B8"/>
    <w:rsid w:val="005B60FA"/>
    <w:rsid w:val="005B6D46"/>
    <w:rsid w:val="005B6F4F"/>
    <w:rsid w:val="005B77DF"/>
    <w:rsid w:val="005B7E6B"/>
    <w:rsid w:val="005C1A0B"/>
    <w:rsid w:val="005C1D4B"/>
    <w:rsid w:val="005C3320"/>
    <w:rsid w:val="005C3ACB"/>
    <w:rsid w:val="005C4790"/>
    <w:rsid w:val="005C5E6E"/>
    <w:rsid w:val="005C73A1"/>
    <w:rsid w:val="005C7594"/>
    <w:rsid w:val="005C7625"/>
    <w:rsid w:val="005C7BAA"/>
    <w:rsid w:val="005D080E"/>
    <w:rsid w:val="005D33CF"/>
    <w:rsid w:val="005D39DC"/>
    <w:rsid w:val="005D4D78"/>
    <w:rsid w:val="005D63EF"/>
    <w:rsid w:val="005D6548"/>
    <w:rsid w:val="005D676C"/>
    <w:rsid w:val="005E045C"/>
    <w:rsid w:val="005E0B17"/>
    <w:rsid w:val="005E11E7"/>
    <w:rsid w:val="005E15A3"/>
    <w:rsid w:val="005E1F8C"/>
    <w:rsid w:val="005E5A12"/>
    <w:rsid w:val="005E5B44"/>
    <w:rsid w:val="005E7434"/>
    <w:rsid w:val="005F01C9"/>
    <w:rsid w:val="005F0A90"/>
    <w:rsid w:val="005F21ED"/>
    <w:rsid w:val="005F40A8"/>
    <w:rsid w:val="005F43A6"/>
    <w:rsid w:val="005F4665"/>
    <w:rsid w:val="005F4C04"/>
    <w:rsid w:val="005F5274"/>
    <w:rsid w:val="005F5AC5"/>
    <w:rsid w:val="005F6B12"/>
    <w:rsid w:val="005F7B55"/>
    <w:rsid w:val="006036B0"/>
    <w:rsid w:val="00604EE3"/>
    <w:rsid w:val="0060541F"/>
    <w:rsid w:val="00606C3E"/>
    <w:rsid w:val="00607473"/>
    <w:rsid w:val="00607E33"/>
    <w:rsid w:val="0061061C"/>
    <w:rsid w:val="006115D3"/>
    <w:rsid w:val="00611EFD"/>
    <w:rsid w:val="00612A0F"/>
    <w:rsid w:val="0061342D"/>
    <w:rsid w:val="00614B78"/>
    <w:rsid w:val="00614FBE"/>
    <w:rsid w:val="006159FA"/>
    <w:rsid w:val="00616AE8"/>
    <w:rsid w:val="00620F89"/>
    <w:rsid w:val="00621FDE"/>
    <w:rsid w:val="00624421"/>
    <w:rsid w:val="006244B2"/>
    <w:rsid w:val="00625D43"/>
    <w:rsid w:val="0062708A"/>
    <w:rsid w:val="00627774"/>
    <w:rsid w:val="006304C2"/>
    <w:rsid w:val="00630602"/>
    <w:rsid w:val="00630887"/>
    <w:rsid w:val="0063114C"/>
    <w:rsid w:val="00632E2A"/>
    <w:rsid w:val="006337EB"/>
    <w:rsid w:val="00633EF1"/>
    <w:rsid w:val="00633F0B"/>
    <w:rsid w:val="00634837"/>
    <w:rsid w:val="00635DFD"/>
    <w:rsid w:val="006363C6"/>
    <w:rsid w:val="00636672"/>
    <w:rsid w:val="0063779B"/>
    <w:rsid w:val="006378FA"/>
    <w:rsid w:val="00637ABE"/>
    <w:rsid w:val="006408C2"/>
    <w:rsid w:val="00640B24"/>
    <w:rsid w:val="00644D5E"/>
    <w:rsid w:val="00645082"/>
    <w:rsid w:val="00645549"/>
    <w:rsid w:val="00645D32"/>
    <w:rsid w:val="006465C4"/>
    <w:rsid w:val="00646CC6"/>
    <w:rsid w:val="00651A16"/>
    <w:rsid w:val="0065225B"/>
    <w:rsid w:val="006523D1"/>
    <w:rsid w:val="00653354"/>
    <w:rsid w:val="0065385C"/>
    <w:rsid w:val="0065413C"/>
    <w:rsid w:val="00654B7C"/>
    <w:rsid w:val="006550B7"/>
    <w:rsid w:val="00655486"/>
    <w:rsid w:val="006559BC"/>
    <w:rsid w:val="00656343"/>
    <w:rsid w:val="006602EC"/>
    <w:rsid w:val="00660D34"/>
    <w:rsid w:val="0066182D"/>
    <w:rsid w:val="00661B41"/>
    <w:rsid w:val="006626DA"/>
    <w:rsid w:val="0066359E"/>
    <w:rsid w:val="00663A57"/>
    <w:rsid w:val="00664030"/>
    <w:rsid w:val="00664C4A"/>
    <w:rsid w:val="00665053"/>
    <w:rsid w:val="0066692F"/>
    <w:rsid w:val="00666B26"/>
    <w:rsid w:val="00670A98"/>
    <w:rsid w:val="00671BCE"/>
    <w:rsid w:val="006744B7"/>
    <w:rsid w:val="00674824"/>
    <w:rsid w:val="00674C33"/>
    <w:rsid w:val="00674F80"/>
    <w:rsid w:val="00675545"/>
    <w:rsid w:val="006765EC"/>
    <w:rsid w:val="00676B9C"/>
    <w:rsid w:val="006771C3"/>
    <w:rsid w:val="00677288"/>
    <w:rsid w:val="00681D74"/>
    <w:rsid w:val="00681E9B"/>
    <w:rsid w:val="00683936"/>
    <w:rsid w:val="006848BC"/>
    <w:rsid w:val="00686391"/>
    <w:rsid w:val="00690CEC"/>
    <w:rsid w:val="00691108"/>
    <w:rsid w:val="006931DC"/>
    <w:rsid w:val="00693DD3"/>
    <w:rsid w:val="00694FCE"/>
    <w:rsid w:val="006958E4"/>
    <w:rsid w:val="00696882"/>
    <w:rsid w:val="00696C82"/>
    <w:rsid w:val="00697D23"/>
    <w:rsid w:val="006A3E17"/>
    <w:rsid w:val="006A4B7E"/>
    <w:rsid w:val="006A6A3A"/>
    <w:rsid w:val="006A6D4E"/>
    <w:rsid w:val="006A7AAB"/>
    <w:rsid w:val="006A7F4D"/>
    <w:rsid w:val="006B0B70"/>
    <w:rsid w:val="006B0F9F"/>
    <w:rsid w:val="006B4F01"/>
    <w:rsid w:val="006B5D6A"/>
    <w:rsid w:val="006C0EF6"/>
    <w:rsid w:val="006C0F81"/>
    <w:rsid w:val="006C193D"/>
    <w:rsid w:val="006C330B"/>
    <w:rsid w:val="006C430A"/>
    <w:rsid w:val="006C4436"/>
    <w:rsid w:val="006C4452"/>
    <w:rsid w:val="006C56CC"/>
    <w:rsid w:val="006C79A2"/>
    <w:rsid w:val="006D0007"/>
    <w:rsid w:val="006D0F81"/>
    <w:rsid w:val="006D22F0"/>
    <w:rsid w:val="006D3104"/>
    <w:rsid w:val="006D342F"/>
    <w:rsid w:val="006D3D08"/>
    <w:rsid w:val="006D47B5"/>
    <w:rsid w:val="006D4DB5"/>
    <w:rsid w:val="006D5781"/>
    <w:rsid w:val="006D6AB3"/>
    <w:rsid w:val="006E021B"/>
    <w:rsid w:val="006E0B96"/>
    <w:rsid w:val="006E0F3A"/>
    <w:rsid w:val="006E15A3"/>
    <w:rsid w:val="006E20DD"/>
    <w:rsid w:val="006E2C44"/>
    <w:rsid w:val="006E4C99"/>
    <w:rsid w:val="006E560C"/>
    <w:rsid w:val="006E6CD2"/>
    <w:rsid w:val="006F030F"/>
    <w:rsid w:val="006F1E31"/>
    <w:rsid w:val="006F32A2"/>
    <w:rsid w:val="006F3869"/>
    <w:rsid w:val="006F3E2F"/>
    <w:rsid w:val="006F4494"/>
    <w:rsid w:val="006F5933"/>
    <w:rsid w:val="006F7B15"/>
    <w:rsid w:val="00700631"/>
    <w:rsid w:val="00701E79"/>
    <w:rsid w:val="0070291B"/>
    <w:rsid w:val="00705686"/>
    <w:rsid w:val="00705935"/>
    <w:rsid w:val="00706E7E"/>
    <w:rsid w:val="0070785E"/>
    <w:rsid w:val="007119DC"/>
    <w:rsid w:val="0071213E"/>
    <w:rsid w:val="007136FB"/>
    <w:rsid w:val="00715FC1"/>
    <w:rsid w:val="00716A9A"/>
    <w:rsid w:val="00716E45"/>
    <w:rsid w:val="00716ED9"/>
    <w:rsid w:val="007249AD"/>
    <w:rsid w:val="00724FA4"/>
    <w:rsid w:val="00725162"/>
    <w:rsid w:val="007313B2"/>
    <w:rsid w:val="007341C0"/>
    <w:rsid w:val="00736EE9"/>
    <w:rsid w:val="0074102E"/>
    <w:rsid w:val="00741B71"/>
    <w:rsid w:val="00745337"/>
    <w:rsid w:val="00745FB6"/>
    <w:rsid w:val="00746799"/>
    <w:rsid w:val="007469AC"/>
    <w:rsid w:val="00747920"/>
    <w:rsid w:val="00747E92"/>
    <w:rsid w:val="00750FB6"/>
    <w:rsid w:val="007531CB"/>
    <w:rsid w:val="00753A1F"/>
    <w:rsid w:val="0075425B"/>
    <w:rsid w:val="0075469E"/>
    <w:rsid w:val="00754DB0"/>
    <w:rsid w:val="007602BA"/>
    <w:rsid w:val="007626E4"/>
    <w:rsid w:val="00763935"/>
    <w:rsid w:val="00764ADB"/>
    <w:rsid w:val="00765100"/>
    <w:rsid w:val="007663BF"/>
    <w:rsid w:val="0076690C"/>
    <w:rsid w:val="0077210A"/>
    <w:rsid w:val="00772207"/>
    <w:rsid w:val="00772B1C"/>
    <w:rsid w:val="007738CF"/>
    <w:rsid w:val="00774BF6"/>
    <w:rsid w:val="00776B1C"/>
    <w:rsid w:val="00776E89"/>
    <w:rsid w:val="00777A4C"/>
    <w:rsid w:val="00777D16"/>
    <w:rsid w:val="007809B0"/>
    <w:rsid w:val="00780D9E"/>
    <w:rsid w:val="00780F10"/>
    <w:rsid w:val="007822F4"/>
    <w:rsid w:val="00784AD0"/>
    <w:rsid w:val="00786134"/>
    <w:rsid w:val="007901B9"/>
    <w:rsid w:val="00791097"/>
    <w:rsid w:val="007912EA"/>
    <w:rsid w:val="00792EA6"/>
    <w:rsid w:val="007934F9"/>
    <w:rsid w:val="007950D7"/>
    <w:rsid w:val="0079537D"/>
    <w:rsid w:val="00795659"/>
    <w:rsid w:val="0079605A"/>
    <w:rsid w:val="00796C3D"/>
    <w:rsid w:val="00796FCF"/>
    <w:rsid w:val="007A05A1"/>
    <w:rsid w:val="007A2453"/>
    <w:rsid w:val="007A3874"/>
    <w:rsid w:val="007A7B39"/>
    <w:rsid w:val="007B05D7"/>
    <w:rsid w:val="007B1D81"/>
    <w:rsid w:val="007B38C6"/>
    <w:rsid w:val="007B4C4E"/>
    <w:rsid w:val="007B5A56"/>
    <w:rsid w:val="007B5BE5"/>
    <w:rsid w:val="007B7F73"/>
    <w:rsid w:val="007C07DC"/>
    <w:rsid w:val="007C0D92"/>
    <w:rsid w:val="007C1C49"/>
    <w:rsid w:val="007C1FD3"/>
    <w:rsid w:val="007C2C9A"/>
    <w:rsid w:val="007C358A"/>
    <w:rsid w:val="007C6F3A"/>
    <w:rsid w:val="007C7D28"/>
    <w:rsid w:val="007D15E0"/>
    <w:rsid w:val="007D1BCC"/>
    <w:rsid w:val="007D2698"/>
    <w:rsid w:val="007D326A"/>
    <w:rsid w:val="007D3B46"/>
    <w:rsid w:val="007D4AC3"/>
    <w:rsid w:val="007D5C38"/>
    <w:rsid w:val="007E0ACD"/>
    <w:rsid w:val="007E0C32"/>
    <w:rsid w:val="007E1CB2"/>
    <w:rsid w:val="007E24E9"/>
    <w:rsid w:val="007E2FDD"/>
    <w:rsid w:val="007E3C76"/>
    <w:rsid w:val="007E4272"/>
    <w:rsid w:val="007E4A30"/>
    <w:rsid w:val="007E5254"/>
    <w:rsid w:val="007E53AE"/>
    <w:rsid w:val="007E74DF"/>
    <w:rsid w:val="007F19E2"/>
    <w:rsid w:val="007F206F"/>
    <w:rsid w:val="007F25ED"/>
    <w:rsid w:val="007F6403"/>
    <w:rsid w:val="0080064F"/>
    <w:rsid w:val="008006F3"/>
    <w:rsid w:val="008010BB"/>
    <w:rsid w:val="00801252"/>
    <w:rsid w:val="00804927"/>
    <w:rsid w:val="0080506F"/>
    <w:rsid w:val="00805C62"/>
    <w:rsid w:val="008065CF"/>
    <w:rsid w:val="008074C2"/>
    <w:rsid w:val="00807979"/>
    <w:rsid w:val="00811725"/>
    <w:rsid w:val="00812364"/>
    <w:rsid w:val="008125CB"/>
    <w:rsid w:val="00815876"/>
    <w:rsid w:val="00816C3D"/>
    <w:rsid w:val="00817313"/>
    <w:rsid w:val="008175DE"/>
    <w:rsid w:val="00817E21"/>
    <w:rsid w:val="00820A12"/>
    <w:rsid w:val="00820C28"/>
    <w:rsid w:val="00820EFB"/>
    <w:rsid w:val="00821290"/>
    <w:rsid w:val="008225C7"/>
    <w:rsid w:val="0082299F"/>
    <w:rsid w:val="008242C4"/>
    <w:rsid w:val="008248E7"/>
    <w:rsid w:val="008252CA"/>
    <w:rsid w:val="008253C0"/>
    <w:rsid w:val="00825768"/>
    <w:rsid w:val="00827510"/>
    <w:rsid w:val="00830780"/>
    <w:rsid w:val="00830ABC"/>
    <w:rsid w:val="00830F27"/>
    <w:rsid w:val="0083115C"/>
    <w:rsid w:val="00831C36"/>
    <w:rsid w:val="0083299F"/>
    <w:rsid w:val="00835849"/>
    <w:rsid w:val="00836454"/>
    <w:rsid w:val="00841317"/>
    <w:rsid w:val="00841695"/>
    <w:rsid w:val="00841BF9"/>
    <w:rsid w:val="00841F41"/>
    <w:rsid w:val="008426A9"/>
    <w:rsid w:val="00842CA7"/>
    <w:rsid w:val="00842EF9"/>
    <w:rsid w:val="008440E9"/>
    <w:rsid w:val="0084540D"/>
    <w:rsid w:val="00845F24"/>
    <w:rsid w:val="00850130"/>
    <w:rsid w:val="00850BDC"/>
    <w:rsid w:val="008536C1"/>
    <w:rsid w:val="00853967"/>
    <w:rsid w:val="008539D3"/>
    <w:rsid w:val="00853ED6"/>
    <w:rsid w:val="00854E89"/>
    <w:rsid w:val="00855C29"/>
    <w:rsid w:val="00856C27"/>
    <w:rsid w:val="00860304"/>
    <w:rsid w:val="00860BCC"/>
    <w:rsid w:val="0086115B"/>
    <w:rsid w:val="00861A15"/>
    <w:rsid w:val="00861A62"/>
    <w:rsid w:val="008633EA"/>
    <w:rsid w:val="008661F2"/>
    <w:rsid w:val="00866528"/>
    <w:rsid w:val="00867726"/>
    <w:rsid w:val="00867B5B"/>
    <w:rsid w:val="0087074A"/>
    <w:rsid w:val="00871B6F"/>
    <w:rsid w:val="00872254"/>
    <w:rsid w:val="00872AF6"/>
    <w:rsid w:val="0087534D"/>
    <w:rsid w:val="008778F6"/>
    <w:rsid w:val="00880E8E"/>
    <w:rsid w:val="00881081"/>
    <w:rsid w:val="00881863"/>
    <w:rsid w:val="00882C0E"/>
    <w:rsid w:val="00882FE2"/>
    <w:rsid w:val="008843C4"/>
    <w:rsid w:val="0088548E"/>
    <w:rsid w:val="0088681A"/>
    <w:rsid w:val="008877A5"/>
    <w:rsid w:val="0089085C"/>
    <w:rsid w:val="00890B8B"/>
    <w:rsid w:val="00891B6E"/>
    <w:rsid w:val="00892174"/>
    <w:rsid w:val="00894060"/>
    <w:rsid w:val="00894DAA"/>
    <w:rsid w:val="0089623B"/>
    <w:rsid w:val="00897252"/>
    <w:rsid w:val="008A00AE"/>
    <w:rsid w:val="008A013D"/>
    <w:rsid w:val="008A0443"/>
    <w:rsid w:val="008A1592"/>
    <w:rsid w:val="008A1C2A"/>
    <w:rsid w:val="008A27B1"/>
    <w:rsid w:val="008A2F01"/>
    <w:rsid w:val="008A3C42"/>
    <w:rsid w:val="008A46ED"/>
    <w:rsid w:val="008A478F"/>
    <w:rsid w:val="008A489F"/>
    <w:rsid w:val="008A63FA"/>
    <w:rsid w:val="008B0367"/>
    <w:rsid w:val="008B2DFD"/>
    <w:rsid w:val="008B35C1"/>
    <w:rsid w:val="008B6B32"/>
    <w:rsid w:val="008B7F2F"/>
    <w:rsid w:val="008C03EF"/>
    <w:rsid w:val="008C09CD"/>
    <w:rsid w:val="008C1C40"/>
    <w:rsid w:val="008C215C"/>
    <w:rsid w:val="008C2FB5"/>
    <w:rsid w:val="008C5276"/>
    <w:rsid w:val="008C691B"/>
    <w:rsid w:val="008C794C"/>
    <w:rsid w:val="008D10DD"/>
    <w:rsid w:val="008D16E5"/>
    <w:rsid w:val="008D35EA"/>
    <w:rsid w:val="008D3C45"/>
    <w:rsid w:val="008D3CBA"/>
    <w:rsid w:val="008D4371"/>
    <w:rsid w:val="008D661E"/>
    <w:rsid w:val="008E0F19"/>
    <w:rsid w:val="008E249B"/>
    <w:rsid w:val="008E270B"/>
    <w:rsid w:val="008E3C2C"/>
    <w:rsid w:val="008E52FC"/>
    <w:rsid w:val="008E5BAA"/>
    <w:rsid w:val="008E5D97"/>
    <w:rsid w:val="008E60ED"/>
    <w:rsid w:val="008F0360"/>
    <w:rsid w:val="008F1187"/>
    <w:rsid w:val="008F20E0"/>
    <w:rsid w:val="008F298F"/>
    <w:rsid w:val="008F4D86"/>
    <w:rsid w:val="008F5125"/>
    <w:rsid w:val="008F52DC"/>
    <w:rsid w:val="008F533E"/>
    <w:rsid w:val="008F5C37"/>
    <w:rsid w:val="008F6276"/>
    <w:rsid w:val="008F71CC"/>
    <w:rsid w:val="008F723A"/>
    <w:rsid w:val="00900C29"/>
    <w:rsid w:val="00900FB1"/>
    <w:rsid w:val="00901108"/>
    <w:rsid w:val="00901786"/>
    <w:rsid w:val="00904BDE"/>
    <w:rsid w:val="00904E7D"/>
    <w:rsid w:val="009050DA"/>
    <w:rsid w:val="0090533E"/>
    <w:rsid w:val="00906034"/>
    <w:rsid w:val="009060DB"/>
    <w:rsid w:val="00910B83"/>
    <w:rsid w:val="009135F8"/>
    <w:rsid w:val="009139E8"/>
    <w:rsid w:val="009145BF"/>
    <w:rsid w:val="00916A33"/>
    <w:rsid w:val="00917A0B"/>
    <w:rsid w:val="009234A5"/>
    <w:rsid w:val="00924982"/>
    <w:rsid w:val="009254EB"/>
    <w:rsid w:val="009255AC"/>
    <w:rsid w:val="00927375"/>
    <w:rsid w:val="009275A7"/>
    <w:rsid w:val="00927BFE"/>
    <w:rsid w:val="009311A4"/>
    <w:rsid w:val="009317AE"/>
    <w:rsid w:val="00932D83"/>
    <w:rsid w:val="0093452C"/>
    <w:rsid w:val="0093548E"/>
    <w:rsid w:val="009367BE"/>
    <w:rsid w:val="00936C0C"/>
    <w:rsid w:val="00937B4F"/>
    <w:rsid w:val="009413A4"/>
    <w:rsid w:val="00941AA8"/>
    <w:rsid w:val="00941C8D"/>
    <w:rsid w:val="00941C91"/>
    <w:rsid w:val="00941FC4"/>
    <w:rsid w:val="00942825"/>
    <w:rsid w:val="009472FD"/>
    <w:rsid w:val="009517BE"/>
    <w:rsid w:val="0095212B"/>
    <w:rsid w:val="009524DD"/>
    <w:rsid w:val="00952BB1"/>
    <w:rsid w:val="00952FB7"/>
    <w:rsid w:val="009554E9"/>
    <w:rsid w:val="009559CE"/>
    <w:rsid w:val="009564BE"/>
    <w:rsid w:val="00956506"/>
    <w:rsid w:val="009565BE"/>
    <w:rsid w:val="009608F9"/>
    <w:rsid w:val="00961534"/>
    <w:rsid w:val="009645EF"/>
    <w:rsid w:val="00964F6C"/>
    <w:rsid w:val="009660C3"/>
    <w:rsid w:val="00967334"/>
    <w:rsid w:val="0097068E"/>
    <w:rsid w:val="009714A7"/>
    <w:rsid w:val="009725B2"/>
    <w:rsid w:val="00974CD4"/>
    <w:rsid w:val="0097663A"/>
    <w:rsid w:val="0097715A"/>
    <w:rsid w:val="0098171C"/>
    <w:rsid w:val="00982B5A"/>
    <w:rsid w:val="009836B8"/>
    <w:rsid w:val="009852AE"/>
    <w:rsid w:val="00985840"/>
    <w:rsid w:val="0099087D"/>
    <w:rsid w:val="00991B10"/>
    <w:rsid w:val="0099207F"/>
    <w:rsid w:val="00993DB5"/>
    <w:rsid w:val="00993DC6"/>
    <w:rsid w:val="009941F7"/>
    <w:rsid w:val="009945D5"/>
    <w:rsid w:val="00994DCC"/>
    <w:rsid w:val="00996208"/>
    <w:rsid w:val="00996E81"/>
    <w:rsid w:val="009A0F5D"/>
    <w:rsid w:val="009A1B4F"/>
    <w:rsid w:val="009A1DF1"/>
    <w:rsid w:val="009A1E9D"/>
    <w:rsid w:val="009A2F69"/>
    <w:rsid w:val="009A633C"/>
    <w:rsid w:val="009A6A72"/>
    <w:rsid w:val="009B2177"/>
    <w:rsid w:val="009B2DF3"/>
    <w:rsid w:val="009B4590"/>
    <w:rsid w:val="009B51D2"/>
    <w:rsid w:val="009B6A74"/>
    <w:rsid w:val="009B7300"/>
    <w:rsid w:val="009C1501"/>
    <w:rsid w:val="009C2B7A"/>
    <w:rsid w:val="009C2E6A"/>
    <w:rsid w:val="009C42F0"/>
    <w:rsid w:val="009C4841"/>
    <w:rsid w:val="009C542A"/>
    <w:rsid w:val="009C5589"/>
    <w:rsid w:val="009C55CB"/>
    <w:rsid w:val="009C5A1B"/>
    <w:rsid w:val="009C5D2F"/>
    <w:rsid w:val="009C7410"/>
    <w:rsid w:val="009D043F"/>
    <w:rsid w:val="009D3044"/>
    <w:rsid w:val="009D34EA"/>
    <w:rsid w:val="009D4738"/>
    <w:rsid w:val="009D7D99"/>
    <w:rsid w:val="009D7FE0"/>
    <w:rsid w:val="009E0E25"/>
    <w:rsid w:val="009E0F7C"/>
    <w:rsid w:val="009E1ECF"/>
    <w:rsid w:val="009E3775"/>
    <w:rsid w:val="009E436C"/>
    <w:rsid w:val="009E481C"/>
    <w:rsid w:val="009E5610"/>
    <w:rsid w:val="009E6653"/>
    <w:rsid w:val="009E7B26"/>
    <w:rsid w:val="009E7BB9"/>
    <w:rsid w:val="009F14FD"/>
    <w:rsid w:val="009F1A1A"/>
    <w:rsid w:val="009F282F"/>
    <w:rsid w:val="009F5223"/>
    <w:rsid w:val="009F680C"/>
    <w:rsid w:val="00A00A90"/>
    <w:rsid w:val="00A026D6"/>
    <w:rsid w:val="00A04418"/>
    <w:rsid w:val="00A04C33"/>
    <w:rsid w:val="00A0588C"/>
    <w:rsid w:val="00A05FA7"/>
    <w:rsid w:val="00A06B0F"/>
    <w:rsid w:val="00A06D99"/>
    <w:rsid w:val="00A07000"/>
    <w:rsid w:val="00A10A0C"/>
    <w:rsid w:val="00A1198A"/>
    <w:rsid w:val="00A11C95"/>
    <w:rsid w:val="00A12D6D"/>
    <w:rsid w:val="00A12F3F"/>
    <w:rsid w:val="00A132B7"/>
    <w:rsid w:val="00A14D1E"/>
    <w:rsid w:val="00A150C0"/>
    <w:rsid w:val="00A15FB7"/>
    <w:rsid w:val="00A16098"/>
    <w:rsid w:val="00A16786"/>
    <w:rsid w:val="00A16EAA"/>
    <w:rsid w:val="00A21D53"/>
    <w:rsid w:val="00A2263B"/>
    <w:rsid w:val="00A22B16"/>
    <w:rsid w:val="00A22D59"/>
    <w:rsid w:val="00A237FB"/>
    <w:rsid w:val="00A23E79"/>
    <w:rsid w:val="00A24122"/>
    <w:rsid w:val="00A2457F"/>
    <w:rsid w:val="00A24583"/>
    <w:rsid w:val="00A25183"/>
    <w:rsid w:val="00A26F5A"/>
    <w:rsid w:val="00A27A1F"/>
    <w:rsid w:val="00A30C73"/>
    <w:rsid w:val="00A30FCC"/>
    <w:rsid w:val="00A31DA9"/>
    <w:rsid w:val="00A32150"/>
    <w:rsid w:val="00A32167"/>
    <w:rsid w:val="00A326E3"/>
    <w:rsid w:val="00A33D26"/>
    <w:rsid w:val="00A35183"/>
    <w:rsid w:val="00A36082"/>
    <w:rsid w:val="00A36AD1"/>
    <w:rsid w:val="00A41347"/>
    <w:rsid w:val="00A44DEA"/>
    <w:rsid w:val="00A47BBB"/>
    <w:rsid w:val="00A51A22"/>
    <w:rsid w:val="00A530E7"/>
    <w:rsid w:val="00A5314E"/>
    <w:rsid w:val="00A53401"/>
    <w:rsid w:val="00A535E4"/>
    <w:rsid w:val="00A55014"/>
    <w:rsid w:val="00A55D88"/>
    <w:rsid w:val="00A5749D"/>
    <w:rsid w:val="00A600AE"/>
    <w:rsid w:val="00A6096D"/>
    <w:rsid w:val="00A61427"/>
    <w:rsid w:val="00A62DE6"/>
    <w:rsid w:val="00A63E18"/>
    <w:rsid w:val="00A657DB"/>
    <w:rsid w:val="00A659AC"/>
    <w:rsid w:val="00A65F1B"/>
    <w:rsid w:val="00A6745D"/>
    <w:rsid w:val="00A676F9"/>
    <w:rsid w:val="00A70432"/>
    <w:rsid w:val="00A70F3E"/>
    <w:rsid w:val="00A72350"/>
    <w:rsid w:val="00A72438"/>
    <w:rsid w:val="00A73AF2"/>
    <w:rsid w:val="00A74354"/>
    <w:rsid w:val="00A755CC"/>
    <w:rsid w:val="00A76FF7"/>
    <w:rsid w:val="00A806CF"/>
    <w:rsid w:val="00A816F0"/>
    <w:rsid w:val="00A81900"/>
    <w:rsid w:val="00A82C2F"/>
    <w:rsid w:val="00A84D7E"/>
    <w:rsid w:val="00A87C99"/>
    <w:rsid w:val="00A91144"/>
    <w:rsid w:val="00A91F26"/>
    <w:rsid w:val="00A93D36"/>
    <w:rsid w:val="00A953AE"/>
    <w:rsid w:val="00A95BBD"/>
    <w:rsid w:val="00A95CE6"/>
    <w:rsid w:val="00A96998"/>
    <w:rsid w:val="00A973AF"/>
    <w:rsid w:val="00A97DB7"/>
    <w:rsid w:val="00A97F57"/>
    <w:rsid w:val="00A97FCE"/>
    <w:rsid w:val="00AA03AF"/>
    <w:rsid w:val="00AA043A"/>
    <w:rsid w:val="00AA3173"/>
    <w:rsid w:val="00AA43FB"/>
    <w:rsid w:val="00AA4B46"/>
    <w:rsid w:val="00AA5552"/>
    <w:rsid w:val="00AB0588"/>
    <w:rsid w:val="00AB093B"/>
    <w:rsid w:val="00AB0A34"/>
    <w:rsid w:val="00AB0C80"/>
    <w:rsid w:val="00AB0D4C"/>
    <w:rsid w:val="00AB366A"/>
    <w:rsid w:val="00AB3740"/>
    <w:rsid w:val="00AB5E81"/>
    <w:rsid w:val="00AB629E"/>
    <w:rsid w:val="00AB6605"/>
    <w:rsid w:val="00AB7B44"/>
    <w:rsid w:val="00AB7BEA"/>
    <w:rsid w:val="00AC0E9D"/>
    <w:rsid w:val="00AC2771"/>
    <w:rsid w:val="00AC425B"/>
    <w:rsid w:val="00AC45AA"/>
    <w:rsid w:val="00AC50C7"/>
    <w:rsid w:val="00AC57CD"/>
    <w:rsid w:val="00AC5B9C"/>
    <w:rsid w:val="00AC5C00"/>
    <w:rsid w:val="00AC6B9C"/>
    <w:rsid w:val="00AD1C3C"/>
    <w:rsid w:val="00AD3980"/>
    <w:rsid w:val="00AD67DA"/>
    <w:rsid w:val="00AD6AC0"/>
    <w:rsid w:val="00AE074B"/>
    <w:rsid w:val="00AE0867"/>
    <w:rsid w:val="00AE123B"/>
    <w:rsid w:val="00AE17CE"/>
    <w:rsid w:val="00AE73AA"/>
    <w:rsid w:val="00AE76F7"/>
    <w:rsid w:val="00AF0FB6"/>
    <w:rsid w:val="00AF2438"/>
    <w:rsid w:val="00AF28A0"/>
    <w:rsid w:val="00AF2DB1"/>
    <w:rsid w:val="00AF3117"/>
    <w:rsid w:val="00AF459C"/>
    <w:rsid w:val="00AF47AA"/>
    <w:rsid w:val="00B007A9"/>
    <w:rsid w:val="00B00CB0"/>
    <w:rsid w:val="00B01DCF"/>
    <w:rsid w:val="00B03400"/>
    <w:rsid w:val="00B03E08"/>
    <w:rsid w:val="00B05C88"/>
    <w:rsid w:val="00B06517"/>
    <w:rsid w:val="00B07349"/>
    <w:rsid w:val="00B10E7F"/>
    <w:rsid w:val="00B10F73"/>
    <w:rsid w:val="00B13BFF"/>
    <w:rsid w:val="00B1571A"/>
    <w:rsid w:val="00B15E3C"/>
    <w:rsid w:val="00B1736E"/>
    <w:rsid w:val="00B176D1"/>
    <w:rsid w:val="00B2004C"/>
    <w:rsid w:val="00B209C0"/>
    <w:rsid w:val="00B21228"/>
    <w:rsid w:val="00B21B6C"/>
    <w:rsid w:val="00B21FA8"/>
    <w:rsid w:val="00B24947"/>
    <w:rsid w:val="00B25022"/>
    <w:rsid w:val="00B2546E"/>
    <w:rsid w:val="00B3045C"/>
    <w:rsid w:val="00B346EF"/>
    <w:rsid w:val="00B350FF"/>
    <w:rsid w:val="00B37FAE"/>
    <w:rsid w:val="00B40C6C"/>
    <w:rsid w:val="00B41E38"/>
    <w:rsid w:val="00B42F03"/>
    <w:rsid w:val="00B42F5A"/>
    <w:rsid w:val="00B44169"/>
    <w:rsid w:val="00B4770D"/>
    <w:rsid w:val="00B50666"/>
    <w:rsid w:val="00B51346"/>
    <w:rsid w:val="00B51BDA"/>
    <w:rsid w:val="00B52348"/>
    <w:rsid w:val="00B53AEE"/>
    <w:rsid w:val="00B547F8"/>
    <w:rsid w:val="00B56648"/>
    <w:rsid w:val="00B57290"/>
    <w:rsid w:val="00B6070F"/>
    <w:rsid w:val="00B607D4"/>
    <w:rsid w:val="00B60B74"/>
    <w:rsid w:val="00B60D35"/>
    <w:rsid w:val="00B62530"/>
    <w:rsid w:val="00B62D31"/>
    <w:rsid w:val="00B6370E"/>
    <w:rsid w:val="00B64F96"/>
    <w:rsid w:val="00B656EB"/>
    <w:rsid w:val="00B65ADC"/>
    <w:rsid w:val="00B66017"/>
    <w:rsid w:val="00B71DFC"/>
    <w:rsid w:val="00B729CD"/>
    <w:rsid w:val="00B72ADF"/>
    <w:rsid w:val="00B72C69"/>
    <w:rsid w:val="00B738D6"/>
    <w:rsid w:val="00B73B32"/>
    <w:rsid w:val="00B74D6E"/>
    <w:rsid w:val="00B74DDF"/>
    <w:rsid w:val="00B751A7"/>
    <w:rsid w:val="00B75A20"/>
    <w:rsid w:val="00B7750D"/>
    <w:rsid w:val="00B80422"/>
    <w:rsid w:val="00B80CE1"/>
    <w:rsid w:val="00B81200"/>
    <w:rsid w:val="00B8150B"/>
    <w:rsid w:val="00B85175"/>
    <w:rsid w:val="00B86121"/>
    <w:rsid w:val="00B900DE"/>
    <w:rsid w:val="00B91519"/>
    <w:rsid w:val="00B91FF5"/>
    <w:rsid w:val="00B92416"/>
    <w:rsid w:val="00B927EC"/>
    <w:rsid w:val="00B92B4F"/>
    <w:rsid w:val="00B952BA"/>
    <w:rsid w:val="00B9647A"/>
    <w:rsid w:val="00B96A55"/>
    <w:rsid w:val="00B9744E"/>
    <w:rsid w:val="00B976D6"/>
    <w:rsid w:val="00B97F5C"/>
    <w:rsid w:val="00BA15FC"/>
    <w:rsid w:val="00BA17F3"/>
    <w:rsid w:val="00BA426A"/>
    <w:rsid w:val="00BA4331"/>
    <w:rsid w:val="00BA5E9E"/>
    <w:rsid w:val="00BA6F8F"/>
    <w:rsid w:val="00BB0232"/>
    <w:rsid w:val="00BB06BE"/>
    <w:rsid w:val="00BB2AEA"/>
    <w:rsid w:val="00BB2B71"/>
    <w:rsid w:val="00BB47D4"/>
    <w:rsid w:val="00BB4CB0"/>
    <w:rsid w:val="00BB5F36"/>
    <w:rsid w:val="00BB72D7"/>
    <w:rsid w:val="00BC0DA5"/>
    <w:rsid w:val="00BC3876"/>
    <w:rsid w:val="00BC3947"/>
    <w:rsid w:val="00BC3AB7"/>
    <w:rsid w:val="00BC3AFC"/>
    <w:rsid w:val="00BC3D50"/>
    <w:rsid w:val="00BC3EB8"/>
    <w:rsid w:val="00BC5AE5"/>
    <w:rsid w:val="00BC6293"/>
    <w:rsid w:val="00BC73EC"/>
    <w:rsid w:val="00BC7EF8"/>
    <w:rsid w:val="00BD0091"/>
    <w:rsid w:val="00BD0735"/>
    <w:rsid w:val="00BD0D15"/>
    <w:rsid w:val="00BD0F52"/>
    <w:rsid w:val="00BD1B0B"/>
    <w:rsid w:val="00BD5B46"/>
    <w:rsid w:val="00BD71C6"/>
    <w:rsid w:val="00BD7303"/>
    <w:rsid w:val="00BD7316"/>
    <w:rsid w:val="00BD7632"/>
    <w:rsid w:val="00BE0170"/>
    <w:rsid w:val="00BE0575"/>
    <w:rsid w:val="00BE092E"/>
    <w:rsid w:val="00BE14C8"/>
    <w:rsid w:val="00BE185D"/>
    <w:rsid w:val="00BE1982"/>
    <w:rsid w:val="00BE242B"/>
    <w:rsid w:val="00BE2D6F"/>
    <w:rsid w:val="00BE2F95"/>
    <w:rsid w:val="00BE3558"/>
    <w:rsid w:val="00BE4D3F"/>
    <w:rsid w:val="00BE588B"/>
    <w:rsid w:val="00BE6127"/>
    <w:rsid w:val="00BE6716"/>
    <w:rsid w:val="00BE7099"/>
    <w:rsid w:val="00BE794C"/>
    <w:rsid w:val="00BF1864"/>
    <w:rsid w:val="00BF1FF0"/>
    <w:rsid w:val="00BF42AF"/>
    <w:rsid w:val="00BF5883"/>
    <w:rsid w:val="00BF6051"/>
    <w:rsid w:val="00BF6A78"/>
    <w:rsid w:val="00BF7DA3"/>
    <w:rsid w:val="00C02751"/>
    <w:rsid w:val="00C05123"/>
    <w:rsid w:val="00C052AB"/>
    <w:rsid w:val="00C0594D"/>
    <w:rsid w:val="00C06524"/>
    <w:rsid w:val="00C0765B"/>
    <w:rsid w:val="00C077BC"/>
    <w:rsid w:val="00C10933"/>
    <w:rsid w:val="00C10EFE"/>
    <w:rsid w:val="00C11627"/>
    <w:rsid w:val="00C13839"/>
    <w:rsid w:val="00C156FD"/>
    <w:rsid w:val="00C15773"/>
    <w:rsid w:val="00C162DD"/>
    <w:rsid w:val="00C17A5A"/>
    <w:rsid w:val="00C20C26"/>
    <w:rsid w:val="00C21949"/>
    <w:rsid w:val="00C222F7"/>
    <w:rsid w:val="00C2379E"/>
    <w:rsid w:val="00C24D2C"/>
    <w:rsid w:val="00C24F31"/>
    <w:rsid w:val="00C252EE"/>
    <w:rsid w:val="00C27DE6"/>
    <w:rsid w:val="00C308E0"/>
    <w:rsid w:val="00C30FE1"/>
    <w:rsid w:val="00C31FD7"/>
    <w:rsid w:val="00C3220C"/>
    <w:rsid w:val="00C325AA"/>
    <w:rsid w:val="00C332D6"/>
    <w:rsid w:val="00C3333F"/>
    <w:rsid w:val="00C35455"/>
    <w:rsid w:val="00C36610"/>
    <w:rsid w:val="00C36C9E"/>
    <w:rsid w:val="00C371D8"/>
    <w:rsid w:val="00C410B9"/>
    <w:rsid w:val="00C413DC"/>
    <w:rsid w:val="00C42905"/>
    <w:rsid w:val="00C42D7A"/>
    <w:rsid w:val="00C42FD5"/>
    <w:rsid w:val="00C431F7"/>
    <w:rsid w:val="00C44C96"/>
    <w:rsid w:val="00C44EA7"/>
    <w:rsid w:val="00C455AF"/>
    <w:rsid w:val="00C4574F"/>
    <w:rsid w:val="00C4605A"/>
    <w:rsid w:val="00C46672"/>
    <w:rsid w:val="00C46CA7"/>
    <w:rsid w:val="00C501F8"/>
    <w:rsid w:val="00C50923"/>
    <w:rsid w:val="00C50D80"/>
    <w:rsid w:val="00C518DE"/>
    <w:rsid w:val="00C521E9"/>
    <w:rsid w:val="00C53138"/>
    <w:rsid w:val="00C533F0"/>
    <w:rsid w:val="00C534E6"/>
    <w:rsid w:val="00C54119"/>
    <w:rsid w:val="00C554EB"/>
    <w:rsid w:val="00C57A4D"/>
    <w:rsid w:val="00C63139"/>
    <w:rsid w:val="00C631FE"/>
    <w:rsid w:val="00C6478D"/>
    <w:rsid w:val="00C66626"/>
    <w:rsid w:val="00C66B16"/>
    <w:rsid w:val="00C67CE1"/>
    <w:rsid w:val="00C70BAA"/>
    <w:rsid w:val="00C70FC5"/>
    <w:rsid w:val="00C713EF"/>
    <w:rsid w:val="00C7201C"/>
    <w:rsid w:val="00C72D4C"/>
    <w:rsid w:val="00C74E21"/>
    <w:rsid w:val="00C75C83"/>
    <w:rsid w:val="00C7694A"/>
    <w:rsid w:val="00C813F3"/>
    <w:rsid w:val="00C8337F"/>
    <w:rsid w:val="00C868F1"/>
    <w:rsid w:val="00C87155"/>
    <w:rsid w:val="00C87E58"/>
    <w:rsid w:val="00C90019"/>
    <w:rsid w:val="00C900A4"/>
    <w:rsid w:val="00C91261"/>
    <w:rsid w:val="00C9281B"/>
    <w:rsid w:val="00C93DBE"/>
    <w:rsid w:val="00C942CA"/>
    <w:rsid w:val="00C95BFE"/>
    <w:rsid w:val="00C970AB"/>
    <w:rsid w:val="00C97EB1"/>
    <w:rsid w:val="00CA12D0"/>
    <w:rsid w:val="00CA1828"/>
    <w:rsid w:val="00CA47F1"/>
    <w:rsid w:val="00CA4C81"/>
    <w:rsid w:val="00CA5DCD"/>
    <w:rsid w:val="00CA7527"/>
    <w:rsid w:val="00CA7D66"/>
    <w:rsid w:val="00CB1123"/>
    <w:rsid w:val="00CB4A1B"/>
    <w:rsid w:val="00CB5978"/>
    <w:rsid w:val="00CB62E4"/>
    <w:rsid w:val="00CC0119"/>
    <w:rsid w:val="00CC0B5F"/>
    <w:rsid w:val="00CC1356"/>
    <w:rsid w:val="00CC26E6"/>
    <w:rsid w:val="00CC2AA8"/>
    <w:rsid w:val="00CC444B"/>
    <w:rsid w:val="00CC5609"/>
    <w:rsid w:val="00CC682D"/>
    <w:rsid w:val="00CD0802"/>
    <w:rsid w:val="00CD1D51"/>
    <w:rsid w:val="00CD2049"/>
    <w:rsid w:val="00CD21DC"/>
    <w:rsid w:val="00CD2E28"/>
    <w:rsid w:val="00CD3291"/>
    <w:rsid w:val="00CD372B"/>
    <w:rsid w:val="00CD3E85"/>
    <w:rsid w:val="00CD42BE"/>
    <w:rsid w:val="00CD5D4D"/>
    <w:rsid w:val="00CD7BFF"/>
    <w:rsid w:val="00CE09FB"/>
    <w:rsid w:val="00CE1FFE"/>
    <w:rsid w:val="00CE2834"/>
    <w:rsid w:val="00CE2D48"/>
    <w:rsid w:val="00CE314B"/>
    <w:rsid w:val="00CE3328"/>
    <w:rsid w:val="00CE408B"/>
    <w:rsid w:val="00CE53AC"/>
    <w:rsid w:val="00CE597E"/>
    <w:rsid w:val="00CE724D"/>
    <w:rsid w:val="00CE78A5"/>
    <w:rsid w:val="00CF0106"/>
    <w:rsid w:val="00CF0FF8"/>
    <w:rsid w:val="00CF3CA5"/>
    <w:rsid w:val="00CF4E34"/>
    <w:rsid w:val="00CF5429"/>
    <w:rsid w:val="00CF5931"/>
    <w:rsid w:val="00CF6A6E"/>
    <w:rsid w:val="00CF7C6B"/>
    <w:rsid w:val="00D00D61"/>
    <w:rsid w:val="00D0247F"/>
    <w:rsid w:val="00D0249F"/>
    <w:rsid w:val="00D04248"/>
    <w:rsid w:val="00D0645F"/>
    <w:rsid w:val="00D068AA"/>
    <w:rsid w:val="00D10210"/>
    <w:rsid w:val="00D10708"/>
    <w:rsid w:val="00D107EA"/>
    <w:rsid w:val="00D11133"/>
    <w:rsid w:val="00D117EF"/>
    <w:rsid w:val="00D11AAF"/>
    <w:rsid w:val="00D11AE4"/>
    <w:rsid w:val="00D120A7"/>
    <w:rsid w:val="00D12CAC"/>
    <w:rsid w:val="00D1375E"/>
    <w:rsid w:val="00D14B41"/>
    <w:rsid w:val="00D14D65"/>
    <w:rsid w:val="00D14E55"/>
    <w:rsid w:val="00D22646"/>
    <w:rsid w:val="00D2273B"/>
    <w:rsid w:val="00D24806"/>
    <w:rsid w:val="00D2482A"/>
    <w:rsid w:val="00D24AEF"/>
    <w:rsid w:val="00D24DC5"/>
    <w:rsid w:val="00D24E2B"/>
    <w:rsid w:val="00D25449"/>
    <w:rsid w:val="00D26C9E"/>
    <w:rsid w:val="00D27FCD"/>
    <w:rsid w:val="00D3017A"/>
    <w:rsid w:val="00D30A21"/>
    <w:rsid w:val="00D30EBC"/>
    <w:rsid w:val="00D35307"/>
    <w:rsid w:val="00D35DAB"/>
    <w:rsid w:val="00D4052F"/>
    <w:rsid w:val="00D4066F"/>
    <w:rsid w:val="00D40B49"/>
    <w:rsid w:val="00D41C05"/>
    <w:rsid w:val="00D43312"/>
    <w:rsid w:val="00D43F42"/>
    <w:rsid w:val="00D44D59"/>
    <w:rsid w:val="00D46488"/>
    <w:rsid w:val="00D46934"/>
    <w:rsid w:val="00D50B6B"/>
    <w:rsid w:val="00D51D31"/>
    <w:rsid w:val="00D52DBC"/>
    <w:rsid w:val="00D5514B"/>
    <w:rsid w:val="00D55B28"/>
    <w:rsid w:val="00D55FD1"/>
    <w:rsid w:val="00D57706"/>
    <w:rsid w:val="00D57C2F"/>
    <w:rsid w:val="00D57C55"/>
    <w:rsid w:val="00D6002C"/>
    <w:rsid w:val="00D60384"/>
    <w:rsid w:val="00D6067D"/>
    <w:rsid w:val="00D612AA"/>
    <w:rsid w:val="00D62285"/>
    <w:rsid w:val="00D62442"/>
    <w:rsid w:val="00D63CA6"/>
    <w:rsid w:val="00D64003"/>
    <w:rsid w:val="00D66EE8"/>
    <w:rsid w:val="00D671C7"/>
    <w:rsid w:val="00D7094C"/>
    <w:rsid w:val="00D70B0C"/>
    <w:rsid w:val="00D72102"/>
    <w:rsid w:val="00D74D98"/>
    <w:rsid w:val="00D75CFC"/>
    <w:rsid w:val="00D75FCA"/>
    <w:rsid w:val="00D7697D"/>
    <w:rsid w:val="00D77BF8"/>
    <w:rsid w:val="00D80D3A"/>
    <w:rsid w:val="00D81BBA"/>
    <w:rsid w:val="00D82037"/>
    <w:rsid w:val="00D82C82"/>
    <w:rsid w:val="00D83EA2"/>
    <w:rsid w:val="00D85563"/>
    <w:rsid w:val="00D85F02"/>
    <w:rsid w:val="00D8713D"/>
    <w:rsid w:val="00D90314"/>
    <w:rsid w:val="00D93125"/>
    <w:rsid w:val="00D94A58"/>
    <w:rsid w:val="00D950FC"/>
    <w:rsid w:val="00D95598"/>
    <w:rsid w:val="00D957C6"/>
    <w:rsid w:val="00D95AE2"/>
    <w:rsid w:val="00D96310"/>
    <w:rsid w:val="00D96B1A"/>
    <w:rsid w:val="00D9772D"/>
    <w:rsid w:val="00D978D3"/>
    <w:rsid w:val="00D97F3B"/>
    <w:rsid w:val="00DA0014"/>
    <w:rsid w:val="00DA0783"/>
    <w:rsid w:val="00DA19DD"/>
    <w:rsid w:val="00DA1C94"/>
    <w:rsid w:val="00DA1CBB"/>
    <w:rsid w:val="00DA208F"/>
    <w:rsid w:val="00DA269C"/>
    <w:rsid w:val="00DA3293"/>
    <w:rsid w:val="00DA471D"/>
    <w:rsid w:val="00DA54EA"/>
    <w:rsid w:val="00DA56DC"/>
    <w:rsid w:val="00DA5A6A"/>
    <w:rsid w:val="00DA69BD"/>
    <w:rsid w:val="00DA6FE7"/>
    <w:rsid w:val="00DA7C4D"/>
    <w:rsid w:val="00DA7F61"/>
    <w:rsid w:val="00DB2D2F"/>
    <w:rsid w:val="00DB55F8"/>
    <w:rsid w:val="00DB5CE3"/>
    <w:rsid w:val="00DB6376"/>
    <w:rsid w:val="00DB696A"/>
    <w:rsid w:val="00DB6D69"/>
    <w:rsid w:val="00DB71E1"/>
    <w:rsid w:val="00DC1441"/>
    <w:rsid w:val="00DC2442"/>
    <w:rsid w:val="00DC2C20"/>
    <w:rsid w:val="00DC3FCF"/>
    <w:rsid w:val="00DC445F"/>
    <w:rsid w:val="00DC5FC1"/>
    <w:rsid w:val="00DC635D"/>
    <w:rsid w:val="00DC699A"/>
    <w:rsid w:val="00DC7B3C"/>
    <w:rsid w:val="00DD154E"/>
    <w:rsid w:val="00DD5555"/>
    <w:rsid w:val="00DD7883"/>
    <w:rsid w:val="00DD7BFD"/>
    <w:rsid w:val="00DE0671"/>
    <w:rsid w:val="00DE1867"/>
    <w:rsid w:val="00DE2420"/>
    <w:rsid w:val="00DE3646"/>
    <w:rsid w:val="00DE52E0"/>
    <w:rsid w:val="00DE59BF"/>
    <w:rsid w:val="00DE61B0"/>
    <w:rsid w:val="00DE6A47"/>
    <w:rsid w:val="00DF120E"/>
    <w:rsid w:val="00DF233B"/>
    <w:rsid w:val="00DF254A"/>
    <w:rsid w:val="00DF30E6"/>
    <w:rsid w:val="00DF3A85"/>
    <w:rsid w:val="00DF3BD6"/>
    <w:rsid w:val="00DF6330"/>
    <w:rsid w:val="00DF65C9"/>
    <w:rsid w:val="00DF7B03"/>
    <w:rsid w:val="00E00FBB"/>
    <w:rsid w:val="00E0134F"/>
    <w:rsid w:val="00E02577"/>
    <w:rsid w:val="00E02797"/>
    <w:rsid w:val="00E03A50"/>
    <w:rsid w:val="00E03BA4"/>
    <w:rsid w:val="00E03FEB"/>
    <w:rsid w:val="00E04E34"/>
    <w:rsid w:val="00E04E3B"/>
    <w:rsid w:val="00E05C99"/>
    <w:rsid w:val="00E0743A"/>
    <w:rsid w:val="00E07F39"/>
    <w:rsid w:val="00E1163B"/>
    <w:rsid w:val="00E122B4"/>
    <w:rsid w:val="00E1281B"/>
    <w:rsid w:val="00E13C39"/>
    <w:rsid w:val="00E14AC4"/>
    <w:rsid w:val="00E14D01"/>
    <w:rsid w:val="00E15301"/>
    <w:rsid w:val="00E17B04"/>
    <w:rsid w:val="00E2012F"/>
    <w:rsid w:val="00E20B93"/>
    <w:rsid w:val="00E212C9"/>
    <w:rsid w:val="00E22856"/>
    <w:rsid w:val="00E23C33"/>
    <w:rsid w:val="00E24EA0"/>
    <w:rsid w:val="00E2618C"/>
    <w:rsid w:val="00E267F2"/>
    <w:rsid w:val="00E2785B"/>
    <w:rsid w:val="00E27AE3"/>
    <w:rsid w:val="00E27B23"/>
    <w:rsid w:val="00E308DF"/>
    <w:rsid w:val="00E31375"/>
    <w:rsid w:val="00E320EA"/>
    <w:rsid w:val="00E32C73"/>
    <w:rsid w:val="00E33088"/>
    <w:rsid w:val="00E351F4"/>
    <w:rsid w:val="00E35DFC"/>
    <w:rsid w:val="00E36311"/>
    <w:rsid w:val="00E36440"/>
    <w:rsid w:val="00E366A0"/>
    <w:rsid w:val="00E40C4E"/>
    <w:rsid w:val="00E417BE"/>
    <w:rsid w:val="00E42110"/>
    <w:rsid w:val="00E4301F"/>
    <w:rsid w:val="00E430C5"/>
    <w:rsid w:val="00E452CB"/>
    <w:rsid w:val="00E45A81"/>
    <w:rsid w:val="00E47542"/>
    <w:rsid w:val="00E50BBD"/>
    <w:rsid w:val="00E51FEA"/>
    <w:rsid w:val="00E52624"/>
    <w:rsid w:val="00E53036"/>
    <w:rsid w:val="00E535CC"/>
    <w:rsid w:val="00E541F9"/>
    <w:rsid w:val="00E549A6"/>
    <w:rsid w:val="00E54AC4"/>
    <w:rsid w:val="00E555E0"/>
    <w:rsid w:val="00E56B91"/>
    <w:rsid w:val="00E56ED1"/>
    <w:rsid w:val="00E60335"/>
    <w:rsid w:val="00E60BEC"/>
    <w:rsid w:val="00E60F24"/>
    <w:rsid w:val="00E61738"/>
    <w:rsid w:val="00E61B85"/>
    <w:rsid w:val="00E62E3B"/>
    <w:rsid w:val="00E63B3F"/>
    <w:rsid w:val="00E647E3"/>
    <w:rsid w:val="00E66662"/>
    <w:rsid w:val="00E666EC"/>
    <w:rsid w:val="00E668DE"/>
    <w:rsid w:val="00E66D47"/>
    <w:rsid w:val="00E67703"/>
    <w:rsid w:val="00E70812"/>
    <w:rsid w:val="00E71DDF"/>
    <w:rsid w:val="00E72538"/>
    <w:rsid w:val="00E72F53"/>
    <w:rsid w:val="00E73323"/>
    <w:rsid w:val="00E73374"/>
    <w:rsid w:val="00E75600"/>
    <w:rsid w:val="00E756D1"/>
    <w:rsid w:val="00E77A65"/>
    <w:rsid w:val="00E77CEE"/>
    <w:rsid w:val="00E8059C"/>
    <w:rsid w:val="00E81F49"/>
    <w:rsid w:val="00E82573"/>
    <w:rsid w:val="00E835A8"/>
    <w:rsid w:val="00E853E2"/>
    <w:rsid w:val="00E85916"/>
    <w:rsid w:val="00E8647F"/>
    <w:rsid w:val="00E86DE7"/>
    <w:rsid w:val="00E8796B"/>
    <w:rsid w:val="00E90F80"/>
    <w:rsid w:val="00E9124D"/>
    <w:rsid w:val="00E92527"/>
    <w:rsid w:val="00E92FC5"/>
    <w:rsid w:val="00E95F8E"/>
    <w:rsid w:val="00E96119"/>
    <w:rsid w:val="00E96786"/>
    <w:rsid w:val="00E96D49"/>
    <w:rsid w:val="00E97A55"/>
    <w:rsid w:val="00EA1162"/>
    <w:rsid w:val="00EA16E7"/>
    <w:rsid w:val="00EA3D48"/>
    <w:rsid w:val="00EA520F"/>
    <w:rsid w:val="00EA582E"/>
    <w:rsid w:val="00EA61B5"/>
    <w:rsid w:val="00EB0457"/>
    <w:rsid w:val="00EB3404"/>
    <w:rsid w:val="00EB36F5"/>
    <w:rsid w:val="00EB4DC7"/>
    <w:rsid w:val="00EB50FB"/>
    <w:rsid w:val="00EB5A7E"/>
    <w:rsid w:val="00EB6609"/>
    <w:rsid w:val="00EB78E8"/>
    <w:rsid w:val="00EB7B3A"/>
    <w:rsid w:val="00EC0429"/>
    <w:rsid w:val="00EC10CA"/>
    <w:rsid w:val="00EC2E60"/>
    <w:rsid w:val="00EC3093"/>
    <w:rsid w:val="00EC50CC"/>
    <w:rsid w:val="00EC60BF"/>
    <w:rsid w:val="00EC68E2"/>
    <w:rsid w:val="00EC7806"/>
    <w:rsid w:val="00EC7D17"/>
    <w:rsid w:val="00ED00BE"/>
    <w:rsid w:val="00ED066B"/>
    <w:rsid w:val="00ED1849"/>
    <w:rsid w:val="00ED19D9"/>
    <w:rsid w:val="00ED25CB"/>
    <w:rsid w:val="00ED2B3D"/>
    <w:rsid w:val="00ED2CFC"/>
    <w:rsid w:val="00ED4092"/>
    <w:rsid w:val="00ED5356"/>
    <w:rsid w:val="00ED56A9"/>
    <w:rsid w:val="00ED5CB6"/>
    <w:rsid w:val="00ED6001"/>
    <w:rsid w:val="00ED656E"/>
    <w:rsid w:val="00ED68C6"/>
    <w:rsid w:val="00EE0143"/>
    <w:rsid w:val="00EE0C8A"/>
    <w:rsid w:val="00EE30B0"/>
    <w:rsid w:val="00EE345D"/>
    <w:rsid w:val="00EE3731"/>
    <w:rsid w:val="00EE3D50"/>
    <w:rsid w:val="00EE3EA2"/>
    <w:rsid w:val="00EE4882"/>
    <w:rsid w:val="00EE626B"/>
    <w:rsid w:val="00EE66F6"/>
    <w:rsid w:val="00EF036A"/>
    <w:rsid w:val="00EF06BE"/>
    <w:rsid w:val="00EF1636"/>
    <w:rsid w:val="00EF1962"/>
    <w:rsid w:val="00EF3210"/>
    <w:rsid w:val="00EF6C8E"/>
    <w:rsid w:val="00EF6EE8"/>
    <w:rsid w:val="00EF75DF"/>
    <w:rsid w:val="00F01408"/>
    <w:rsid w:val="00F02885"/>
    <w:rsid w:val="00F03513"/>
    <w:rsid w:val="00F10585"/>
    <w:rsid w:val="00F1268A"/>
    <w:rsid w:val="00F144D5"/>
    <w:rsid w:val="00F1469F"/>
    <w:rsid w:val="00F156F4"/>
    <w:rsid w:val="00F16A6C"/>
    <w:rsid w:val="00F17309"/>
    <w:rsid w:val="00F173AE"/>
    <w:rsid w:val="00F177CA"/>
    <w:rsid w:val="00F21082"/>
    <w:rsid w:val="00F21D7E"/>
    <w:rsid w:val="00F22BBC"/>
    <w:rsid w:val="00F23217"/>
    <w:rsid w:val="00F248DB"/>
    <w:rsid w:val="00F264A7"/>
    <w:rsid w:val="00F270DC"/>
    <w:rsid w:val="00F2724B"/>
    <w:rsid w:val="00F273C5"/>
    <w:rsid w:val="00F31A11"/>
    <w:rsid w:val="00F33CAC"/>
    <w:rsid w:val="00F35234"/>
    <w:rsid w:val="00F35B73"/>
    <w:rsid w:val="00F36050"/>
    <w:rsid w:val="00F37BA9"/>
    <w:rsid w:val="00F4094A"/>
    <w:rsid w:val="00F41C42"/>
    <w:rsid w:val="00F43866"/>
    <w:rsid w:val="00F4543F"/>
    <w:rsid w:val="00F45457"/>
    <w:rsid w:val="00F460A7"/>
    <w:rsid w:val="00F47F4E"/>
    <w:rsid w:val="00F504C4"/>
    <w:rsid w:val="00F5062C"/>
    <w:rsid w:val="00F51040"/>
    <w:rsid w:val="00F51B90"/>
    <w:rsid w:val="00F53F46"/>
    <w:rsid w:val="00F569D0"/>
    <w:rsid w:val="00F571D8"/>
    <w:rsid w:val="00F62136"/>
    <w:rsid w:val="00F62700"/>
    <w:rsid w:val="00F63F2E"/>
    <w:rsid w:val="00F655BC"/>
    <w:rsid w:val="00F65CE4"/>
    <w:rsid w:val="00F66418"/>
    <w:rsid w:val="00F66A28"/>
    <w:rsid w:val="00F70D7D"/>
    <w:rsid w:val="00F74560"/>
    <w:rsid w:val="00F7546D"/>
    <w:rsid w:val="00F80851"/>
    <w:rsid w:val="00F80B75"/>
    <w:rsid w:val="00F813F7"/>
    <w:rsid w:val="00F82009"/>
    <w:rsid w:val="00F833C4"/>
    <w:rsid w:val="00F83B8F"/>
    <w:rsid w:val="00F83D5C"/>
    <w:rsid w:val="00F84F49"/>
    <w:rsid w:val="00F862E4"/>
    <w:rsid w:val="00F87A4A"/>
    <w:rsid w:val="00F91139"/>
    <w:rsid w:val="00F91D74"/>
    <w:rsid w:val="00F9254E"/>
    <w:rsid w:val="00F93577"/>
    <w:rsid w:val="00F94DCB"/>
    <w:rsid w:val="00F971D0"/>
    <w:rsid w:val="00FA08DC"/>
    <w:rsid w:val="00FA153E"/>
    <w:rsid w:val="00FA26E9"/>
    <w:rsid w:val="00FA42C9"/>
    <w:rsid w:val="00FA479E"/>
    <w:rsid w:val="00FA4C15"/>
    <w:rsid w:val="00FA552C"/>
    <w:rsid w:val="00FA6424"/>
    <w:rsid w:val="00FA6B1E"/>
    <w:rsid w:val="00FA7090"/>
    <w:rsid w:val="00FB14A3"/>
    <w:rsid w:val="00FB26AD"/>
    <w:rsid w:val="00FB3181"/>
    <w:rsid w:val="00FB44A3"/>
    <w:rsid w:val="00FB4BEB"/>
    <w:rsid w:val="00FB72E4"/>
    <w:rsid w:val="00FC0707"/>
    <w:rsid w:val="00FC140B"/>
    <w:rsid w:val="00FC1B87"/>
    <w:rsid w:val="00FC216A"/>
    <w:rsid w:val="00FC4643"/>
    <w:rsid w:val="00FC4760"/>
    <w:rsid w:val="00FC488E"/>
    <w:rsid w:val="00FC79C1"/>
    <w:rsid w:val="00FD0406"/>
    <w:rsid w:val="00FD0A93"/>
    <w:rsid w:val="00FD0E86"/>
    <w:rsid w:val="00FD344A"/>
    <w:rsid w:val="00FD3625"/>
    <w:rsid w:val="00FD388E"/>
    <w:rsid w:val="00FD53FF"/>
    <w:rsid w:val="00FD58A9"/>
    <w:rsid w:val="00FD5DCB"/>
    <w:rsid w:val="00FD713B"/>
    <w:rsid w:val="00FE0769"/>
    <w:rsid w:val="00FE0D46"/>
    <w:rsid w:val="00FE0EB7"/>
    <w:rsid w:val="00FE1530"/>
    <w:rsid w:val="00FE1B87"/>
    <w:rsid w:val="00FE1CD1"/>
    <w:rsid w:val="00FE2CE4"/>
    <w:rsid w:val="00FE3D80"/>
    <w:rsid w:val="00FE4FDA"/>
    <w:rsid w:val="00FE5F13"/>
    <w:rsid w:val="00FE658D"/>
    <w:rsid w:val="00FE6816"/>
    <w:rsid w:val="00FF28B4"/>
    <w:rsid w:val="00FF29A0"/>
    <w:rsid w:val="00FF2A1D"/>
    <w:rsid w:val="00FF36FF"/>
    <w:rsid w:val="00FF3E30"/>
    <w:rsid w:val="00FF516D"/>
    <w:rsid w:val="00FF6337"/>
    <w:rsid w:val="00FF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86039-DAFB-4911-9F00-9AD55EB3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5ED"/>
    <w:pPr>
      <w:jc w:val="both"/>
    </w:pPr>
    <w:rPr>
      <w:sz w:val="22"/>
    </w:rPr>
  </w:style>
  <w:style w:type="paragraph" w:styleId="Naslov1">
    <w:name w:val="heading 1"/>
    <w:basedOn w:val="Navaden"/>
    <w:next w:val="Navaden"/>
    <w:qFormat/>
    <w:rsid w:val="007F25ED"/>
    <w:pPr>
      <w:keepNext/>
      <w:tabs>
        <w:tab w:val="num" w:pos="0"/>
      </w:tabs>
      <w:autoSpaceDE w:val="0"/>
      <w:autoSpaceDN w:val="0"/>
      <w:adjustRightInd w:val="0"/>
      <w:ind w:left="397" w:hanging="397"/>
      <w:jc w:val="right"/>
      <w:outlineLvl w:val="0"/>
    </w:pPr>
    <w:rPr>
      <w:rFonts w:ascii="TimesNewRoman,BoldItalic" w:hAnsi="TimesNewRoman,BoldItalic"/>
      <w:b/>
      <w:i/>
    </w:rPr>
  </w:style>
  <w:style w:type="paragraph" w:styleId="Naslov2">
    <w:name w:val="heading 2"/>
    <w:basedOn w:val="Navaden"/>
    <w:next w:val="Navaden"/>
    <w:qFormat/>
    <w:rsid w:val="007F25ED"/>
    <w:pPr>
      <w:keepNext/>
      <w:tabs>
        <w:tab w:val="num" w:pos="0"/>
      </w:tabs>
      <w:autoSpaceDE w:val="0"/>
      <w:autoSpaceDN w:val="0"/>
      <w:adjustRightInd w:val="0"/>
      <w:ind w:left="794" w:hanging="794"/>
      <w:jc w:val="center"/>
      <w:outlineLvl w:val="1"/>
    </w:pPr>
    <w:rPr>
      <w:b/>
    </w:rPr>
  </w:style>
  <w:style w:type="paragraph" w:styleId="Naslov4">
    <w:name w:val="heading 4"/>
    <w:basedOn w:val="Navaden"/>
    <w:next w:val="Navaden"/>
    <w:link w:val="Naslov4Znak"/>
    <w:semiHidden/>
    <w:unhideWhenUsed/>
    <w:qFormat/>
    <w:rsid w:val="007E4A30"/>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semiHidden/>
    <w:unhideWhenUsed/>
    <w:qFormat/>
    <w:rsid w:val="00B346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F25ED"/>
    <w:pPr>
      <w:autoSpaceDE w:val="0"/>
      <w:autoSpaceDN w:val="0"/>
      <w:adjustRightInd w:val="0"/>
    </w:pPr>
  </w:style>
  <w:style w:type="paragraph" w:styleId="Telobesedila-zamik3">
    <w:name w:val="Body Text Indent 3"/>
    <w:basedOn w:val="Navaden"/>
    <w:rsid w:val="007F25ED"/>
    <w:pPr>
      <w:autoSpaceDE w:val="0"/>
      <w:autoSpaceDN w:val="0"/>
      <w:adjustRightInd w:val="0"/>
      <w:ind w:left="705" w:hanging="705"/>
    </w:pPr>
  </w:style>
  <w:style w:type="paragraph" w:styleId="Telobesedila-zamik">
    <w:name w:val="Body Text Indent"/>
    <w:basedOn w:val="Navaden"/>
    <w:rsid w:val="007F25ED"/>
    <w:pPr>
      <w:autoSpaceDE w:val="0"/>
      <w:autoSpaceDN w:val="0"/>
      <w:adjustRightInd w:val="0"/>
      <w:ind w:left="1416" w:hanging="705"/>
    </w:pPr>
    <w:rPr>
      <w:rFonts w:ascii="TimesNewRoman" w:hAnsi="TimesNewRoman"/>
    </w:rPr>
  </w:style>
  <w:style w:type="character" w:styleId="tevilkastrani">
    <w:name w:val="page number"/>
    <w:basedOn w:val="Privzetapisavaodstavka"/>
    <w:rsid w:val="007F25ED"/>
  </w:style>
  <w:style w:type="paragraph" w:styleId="Noga">
    <w:name w:val="footer"/>
    <w:basedOn w:val="Navaden"/>
    <w:link w:val="NogaZnak"/>
    <w:uiPriority w:val="99"/>
    <w:rsid w:val="007F25ED"/>
    <w:pPr>
      <w:tabs>
        <w:tab w:val="center" w:pos="4536"/>
        <w:tab w:val="right" w:pos="9072"/>
      </w:tabs>
      <w:jc w:val="left"/>
    </w:pPr>
    <w:rPr>
      <w:sz w:val="24"/>
    </w:rPr>
  </w:style>
  <w:style w:type="paragraph" w:styleId="Besedilooblaka">
    <w:name w:val="Balloon Text"/>
    <w:basedOn w:val="Navaden"/>
    <w:semiHidden/>
    <w:rsid w:val="007F25ED"/>
    <w:rPr>
      <w:rFonts w:ascii="Tahoma" w:hAnsi="Tahoma" w:cs="Tahoma"/>
      <w:sz w:val="16"/>
      <w:szCs w:val="16"/>
    </w:rPr>
  </w:style>
  <w:style w:type="paragraph" w:styleId="Telobesedila-zamik2">
    <w:name w:val="Body Text Indent 2"/>
    <w:basedOn w:val="Navaden"/>
    <w:rsid w:val="007F25ED"/>
    <w:pPr>
      <w:autoSpaceDE w:val="0"/>
      <w:autoSpaceDN w:val="0"/>
      <w:adjustRightInd w:val="0"/>
      <w:ind w:left="360"/>
    </w:pPr>
  </w:style>
  <w:style w:type="paragraph" w:styleId="Glava">
    <w:name w:val="header"/>
    <w:basedOn w:val="Navaden"/>
    <w:link w:val="GlavaZnak"/>
    <w:uiPriority w:val="99"/>
    <w:rsid w:val="007F25ED"/>
    <w:pPr>
      <w:tabs>
        <w:tab w:val="center" w:pos="4536"/>
        <w:tab w:val="right" w:pos="9072"/>
      </w:tabs>
    </w:pPr>
  </w:style>
  <w:style w:type="paragraph" w:styleId="Sprotnaopomba-besedilo">
    <w:name w:val="footnote text"/>
    <w:basedOn w:val="Navaden"/>
    <w:link w:val="Sprotnaopomba-besediloZnak"/>
    <w:uiPriority w:val="99"/>
    <w:rsid w:val="001A2D4F"/>
    <w:rPr>
      <w:sz w:val="20"/>
    </w:rPr>
  </w:style>
  <w:style w:type="character" w:styleId="Sprotnaopomba-sklic">
    <w:name w:val="footnote reference"/>
    <w:basedOn w:val="Privzetapisavaodstavka"/>
    <w:uiPriority w:val="99"/>
    <w:rsid w:val="001A2D4F"/>
    <w:rPr>
      <w:vertAlign w:val="superscript"/>
    </w:rPr>
  </w:style>
  <w:style w:type="paragraph" w:customStyle="1" w:styleId="Odstavek">
    <w:name w:val="Odstavek"/>
    <w:basedOn w:val="Navaden"/>
    <w:rsid w:val="00CB5978"/>
    <w:pPr>
      <w:spacing w:before="240"/>
    </w:pPr>
    <w:rPr>
      <w:szCs w:val="22"/>
    </w:rPr>
  </w:style>
  <w:style w:type="paragraph" w:customStyle="1" w:styleId="CharChar1">
    <w:name w:val="Char Char1"/>
    <w:basedOn w:val="Navaden"/>
    <w:rsid w:val="00A44DEA"/>
    <w:pPr>
      <w:spacing w:after="160" w:line="288" w:lineRule="auto"/>
      <w:jc w:val="left"/>
    </w:pPr>
    <w:rPr>
      <w:rFonts w:ascii="Tahoma" w:hAnsi="Tahoma"/>
      <w:sz w:val="20"/>
      <w:lang w:val="en-US" w:eastAsia="en-US"/>
    </w:rPr>
  </w:style>
  <w:style w:type="paragraph" w:styleId="Odstavekseznama">
    <w:name w:val="List Paragraph"/>
    <w:basedOn w:val="Navaden"/>
    <w:link w:val="OdstavekseznamaZnak"/>
    <w:uiPriority w:val="34"/>
    <w:qFormat/>
    <w:rsid w:val="000A7EA8"/>
    <w:pPr>
      <w:ind w:left="720" w:hanging="153"/>
      <w:contextualSpacing/>
    </w:pPr>
    <w:rPr>
      <w:rFonts w:eastAsia="Calibri"/>
      <w:szCs w:val="22"/>
      <w:lang w:eastAsia="en-US"/>
    </w:rPr>
  </w:style>
  <w:style w:type="paragraph" w:styleId="Navadensplet">
    <w:name w:val="Normal (Web)"/>
    <w:basedOn w:val="Navaden"/>
    <w:uiPriority w:val="99"/>
    <w:unhideWhenUsed/>
    <w:rsid w:val="00BE7099"/>
    <w:pPr>
      <w:spacing w:after="153"/>
      <w:jc w:val="left"/>
    </w:pPr>
    <w:rPr>
      <w:color w:val="333333"/>
      <w:sz w:val="13"/>
      <w:szCs w:val="13"/>
    </w:rPr>
  </w:style>
  <w:style w:type="paragraph" w:customStyle="1" w:styleId="esegmenth4">
    <w:name w:val="esegment_h4"/>
    <w:basedOn w:val="Navaden"/>
    <w:rsid w:val="00BE7099"/>
    <w:pPr>
      <w:spacing w:after="153"/>
      <w:jc w:val="center"/>
    </w:pPr>
    <w:rPr>
      <w:b/>
      <w:bCs/>
      <w:color w:val="333333"/>
      <w:sz w:val="13"/>
      <w:szCs w:val="13"/>
    </w:rPr>
  </w:style>
  <w:style w:type="paragraph" w:customStyle="1" w:styleId="esegmentc1">
    <w:name w:val="esegment_c1"/>
    <w:basedOn w:val="Navaden"/>
    <w:rsid w:val="00B56648"/>
    <w:pPr>
      <w:spacing w:after="153"/>
      <w:jc w:val="left"/>
    </w:pPr>
    <w:rPr>
      <w:color w:val="333333"/>
      <w:sz w:val="13"/>
      <w:szCs w:val="13"/>
    </w:rPr>
  </w:style>
  <w:style w:type="character" w:customStyle="1" w:styleId="GlavaZnak">
    <w:name w:val="Glava Znak"/>
    <w:basedOn w:val="Privzetapisavaodstavka"/>
    <w:link w:val="Glava"/>
    <w:uiPriority w:val="99"/>
    <w:rsid w:val="00FB3181"/>
    <w:rPr>
      <w:sz w:val="22"/>
    </w:rPr>
  </w:style>
  <w:style w:type="character" w:styleId="Pripombasklic">
    <w:name w:val="annotation reference"/>
    <w:basedOn w:val="Privzetapisavaodstavka"/>
    <w:rsid w:val="00E17B04"/>
    <w:rPr>
      <w:sz w:val="16"/>
      <w:szCs w:val="16"/>
    </w:rPr>
  </w:style>
  <w:style w:type="paragraph" w:styleId="Pripombabesedilo">
    <w:name w:val="annotation text"/>
    <w:basedOn w:val="Navaden"/>
    <w:link w:val="PripombabesediloZnak"/>
    <w:rsid w:val="00E17B04"/>
    <w:rPr>
      <w:sz w:val="20"/>
    </w:rPr>
  </w:style>
  <w:style w:type="character" w:customStyle="1" w:styleId="PripombabesediloZnak">
    <w:name w:val="Pripomba – besedilo Znak"/>
    <w:basedOn w:val="Privzetapisavaodstavka"/>
    <w:link w:val="Pripombabesedilo"/>
    <w:rsid w:val="00E17B04"/>
  </w:style>
  <w:style w:type="paragraph" w:styleId="Zadevapripombe">
    <w:name w:val="annotation subject"/>
    <w:basedOn w:val="Pripombabesedilo"/>
    <w:next w:val="Pripombabesedilo"/>
    <w:link w:val="ZadevapripombeZnak"/>
    <w:rsid w:val="00E17B04"/>
    <w:rPr>
      <w:b/>
      <w:bCs/>
    </w:rPr>
  </w:style>
  <w:style w:type="character" w:customStyle="1" w:styleId="ZadevapripombeZnak">
    <w:name w:val="Zadeva pripombe Znak"/>
    <w:basedOn w:val="PripombabesediloZnak"/>
    <w:link w:val="Zadevapripombe"/>
    <w:rsid w:val="00E17B04"/>
    <w:rPr>
      <w:b/>
      <w:bCs/>
    </w:rPr>
  </w:style>
  <w:style w:type="paragraph" w:customStyle="1" w:styleId="Default">
    <w:name w:val="Default"/>
    <w:rsid w:val="00EA1162"/>
    <w:pPr>
      <w:autoSpaceDE w:val="0"/>
      <w:autoSpaceDN w:val="0"/>
      <w:adjustRightInd w:val="0"/>
    </w:pPr>
    <w:rPr>
      <w:color w:val="000000"/>
      <w:sz w:val="24"/>
      <w:szCs w:val="24"/>
    </w:rPr>
  </w:style>
  <w:style w:type="paragraph" w:styleId="Revizija">
    <w:name w:val="Revision"/>
    <w:hidden/>
    <w:uiPriority w:val="99"/>
    <w:semiHidden/>
    <w:rsid w:val="003D38BA"/>
    <w:rPr>
      <w:sz w:val="22"/>
    </w:rPr>
  </w:style>
  <w:style w:type="character" w:customStyle="1" w:styleId="TelobesedilaZnak">
    <w:name w:val="Telo besedila Znak"/>
    <w:basedOn w:val="Privzetapisavaodstavka"/>
    <w:link w:val="Telobesedila"/>
    <w:rsid w:val="00807979"/>
    <w:rPr>
      <w:sz w:val="22"/>
    </w:rPr>
  </w:style>
  <w:style w:type="character" w:customStyle="1" w:styleId="OdstavekseznamaZnak">
    <w:name w:val="Odstavek seznama Znak"/>
    <w:link w:val="Odstavekseznama"/>
    <w:uiPriority w:val="34"/>
    <w:locked/>
    <w:rsid w:val="004473C0"/>
    <w:rPr>
      <w:rFonts w:eastAsia="Calibri"/>
      <w:sz w:val="22"/>
      <w:szCs w:val="22"/>
      <w:lang w:eastAsia="en-US"/>
    </w:rPr>
  </w:style>
  <w:style w:type="character" w:customStyle="1" w:styleId="Sprotnaopomba-besediloZnak">
    <w:name w:val="Sprotna opomba - besedilo Znak"/>
    <w:basedOn w:val="Privzetapisavaodstavka"/>
    <w:link w:val="Sprotnaopomba-besedilo"/>
    <w:uiPriority w:val="99"/>
    <w:rsid w:val="00A150C0"/>
  </w:style>
  <w:style w:type="character" w:styleId="Hiperpovezava">
    <w:name w:val="Hyperlink"/>
    <w:basedOn w:val="Privzetapisavaodstavka"/>
    <w:uiPriority w:val="99"/>
    <w:rsid w:val="00A150C0"/>
    <w:rPr>
      <w:color w:val="0000FF"/>
      <w:u w:val="single"/>
    </w:rPr>
  </w:style>
  <w:style w:type="character" w:customStyle="1" w:styleId="Naslov4Znak">
    <w:name w:val="Naslov 4 Znak"/>
    <w:basedOn w:val="Privzetapisavaodstavka"/>
    <w:link w:val="Naslov4"/>
    <w:semiHidden/>
    <w:rsid w:val="007E4A30"/>
    <w:rPr>
      <w:rFonts w:asciiTheme="majorHAnsi" w:eastAsiaTheme="majorEastAsia" w:hAnsiTheme="majorHAnsi" w:cstheme="majorBidi"/>
      <w:i/>
      <w:iCs/>
      <w:color w:val="365F91" w:themeColor="accent1" w:themeShade="BF"/>
      <w:sz w:val="22"/>
    </w:rPr>
  </w:style>
  <w:style w:type="character" w:customStyle="1" w:styleId="Naslov8Znak">
    <w:name w:val="Naslov 8 Znak"/>
    <w:basedOn w:val="Privzetapisavaodstavka"/>
    <w:link w:val="Naslov8"/>
    <w:uiPriority w:val="9"/>
    <w:rsid w:val="00B346EF"/>
    <w:rPr>
      <w:rFonts w:asciiTheme="majorHAnsi" w:eastAsiaTheme="majorEastAsia" w:hAnsiTheme="majorHAnsi" w:cstheme="majorBidi"/>
      <w:color w:val="272727" w:themeColor="text1" w:themeTint="D8"/>
      <w:sz w:val="21"/>
      <w:szCs w:val="21"/>
    </w:rPr>
  </w:style>
  <w:style w:type="table" w:styleId="Tabelamrea">
    <w:name w:val="Table Grid"/>
    <w:basedOn w:val="Navadnatabela"/>
    <w:uiPriority w:val="59"/>
    <w:rsid w:val="003A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avaden"/>
    <w:uiPriority w:val="99"/>
    <w:rsid w:val="00FA26E9"/>
    <w:pPr>
      <w:autoSpaceDE w:val="0"/>
      <w:autoSpaceDN w:val="0"/>
      <w:jc w:val="left"/>
    </w:pPr>
    <w:rPr>
      <w:rFonts w:ascii="EUAlbertina" w:eastAsiaTheme="minorHAnsi" w:hAnsi="EUAlbertina"/>
      <w:sz w:val="24"/>
      <w:szCs w:val="24"/>
      <w:lang w:eastAsia="en-US"/>
    </w:rPr>
  </w:style>
  <w:style w:type="character" w:customStyle="1" w:styleId="NogaZnak">
    <w:name w:val="Noga Znak"/>
    <w:basedOn w:val="Privzetapisavaodstavka"/>
    <w:link w:val="Noga"/>
    <w:uiPriority w:val="99"/>
    <w:rsid w:val="00A723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61692">
      <w:bodyDiv w:val="1"/>
      <w:marLeft w:val="0"/>
      <w:marRight w:val="0"/>
      <w:marTop w:val="0"/>
      <w:marBottom w:val="0"/>
      <w:divBdr>
        <w:top w:val="none" w:sz="0" w:space="0" w:color="auto"/>
        <w:left w:val="none" w:sz="0" w:space="0" w:color="auto"/>
        <w:bottom w:val="none" w:sz="0" w:space="0" w:color="auto"/>
        <w:right w:val="none" w:sz="0" w:space="0" w:color="auto"/>
      </w:divBdr>
    </w:div>
    <w:div w:id="1167096221">
      <w:bodyDiv w:val="1"/>
      <w:marLeft w:val="0"/>
      <w:marRight w:val="0"/>
      <w:marTop w:val="0"/>
      <w:marBottom w:val="0"/>
      <w:divBdr>
        <w:top w:val="none" w:sz="0" w:space="0" w:color="auto"/>
        <w:left w:val="none" w:sz="0" w:space="0" w:color="auto"/>
        <w:bottom w:val="none" w:sz="0" w:space="0" w:color="auto"/>
        <w:right w:val="none" w:sz="0" w:space="0" w:color="auto"/>
      </w:divBdr>
    </w:div>
    <w:div w:id="1322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7407F-A618-472B-8669-425D2A25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630A9-1E29-4444-BB85-BD91BE422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84233-B781-41E3-923E-4E5C4D9CE352}">
  <ds:schemaRefs>
    <ds:schemaRef ds:uri="http://schemas.microsoft.com/sharepoint/v3/contenttype/forms"/>
  </ds:schemaRefs>
</ds:datastoreItem>
</file>

<file path=customXml/itemProps4.xml><?xml version="1.0" encoding="utf-8"?>
<ds:datastoreItem xmlns:ds="http://schemas.openxmlformats.org/officeDocument/2006/customXml" ds:itemID="{2C238BC5-53E4-4A88-AB1A-A7C07C54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9489</Words>
  <Characters>54088</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vt:lpstr>
      <vt:lpstr>Predlog</vt:lpstr>
    </vt:vector>
  </TitlesOfParts>
  <Company>Banka Slovenije</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dc:title>
  <dc:subject/>
  <dc:creator>damjana.hudnik-drmaz@bsi.si</dc:creator>
  <cp:keywords/>
  <dc:description/>
  <cp:lastModifiedBy>Šupek Jure</cp:lastModifiedBy>
  <cp:revision>1</cp:revision>
  <cp:lastPrinted>2017-11-28T10:37:00Z</cp:lastPrinted>
  <dcterms:created xsi:type="dcterms:W3CDTF">2018-07-10T07:17:00Z</dcterms:created>
  <dcterms:modified xsi:type="dcterms:W3CDTF">2018-07-10T07:17:00Z</dcterms:modified>
</cp:coreProperties>
</file>